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EB1BF" w14:textId="5A535B9A" w:rsidR="00CE7524" w:rsidRDefault="00694A98" w:rsidP="00103E5F">
      <w:pPr>
        <w:pStyle w:val="a6"/>
      </w:pPr>
      <w:r>
        <w:t>Инструкция</w:t>
      </w:r>
      <w:bookmarkStart w:id="0" w:name="_GoBack"/>
      <w:bookmarkEnd w:id="0"/>
      <w:r w:rsidR="00377896">
        <w:t xml:space="preserve"> по</w:t>
      </w:r>
      <w:r w:rsidR="00103E5F">
        <w:t xml:space="preserve"> выгрузке подотчетных сумм </w:t>
      </w:r>
      <w:r w:rsidR="004411AF">
        <w:t>в банк</w:t>
      </w:r>
    </w:p>
    <w:p w14:paraId="7FEC0687" w14:textId="3B8175AA" w:rsidR="00103E5F" w:rsidRDefault="00103E5F" w:rsidP="00103E5F">
      <w:pPr>
        <w:pStyle w:val="1"/>
      </w:pPr>
      <w:r>
        <w:t>Введение</w:t>
      </w:r>
    </w:p>
    <w:p w14:paraId="708BD8CA" w14:textId="4815ED2B" w:rsidR="00103E5F" w:rsidRDefault="00103E5F" w:rsidP="00103E5F">
      <w:pPr>
        <w:pStyle w:val="a1"/>
      </w:pPr>
      <w:r>
        <w:t xml:space="preserve">Настоящий документ содержит </w:t>
      </w:r>
      <w:r w:rsidR="0092088A">
        <w:t xml:space="preserve">пояснения </w:t>
      </w:r>
      <w:r>
        <w:t xml:space="preserve"> к доработке модуля «Бухгалтерский и налоговый учет», позволяющей производить выгрузку подотчетных сумм </w:t>
      </w:r>
      <w:r w:rsidR="0081164B">
        <w:t>в банк</w:t>
      </w:r>
      <w:r>
        <w:t>.</w:t>
      </w:r>
    </w:p>
    <w:p w14:paraId="5322D569" w14:textId="4F10E3F9" w:rsidR="006F5CCF" w:rsidRDefault="00BC2D9B" w:rsidP="00B10934">
      <w:pPr>
        <w:pStyle w:val="1"/>
      </w:pPr>
      <w:r>
        <w:t>Порядок использования доработки</w:t>
      </w:r>
    </w:p>
    <w:p w14:paraId="1EAE66A9" w14:textId="4C46C012" w:rsidR="00454E58" w:rsidRPr="00024DAF" w:rsidRDefault="00BC2D9B" w:rsidP="00BC2D9B">
      <w:pPr>
        <w:pStyle w:val="a1"/>
      </w:pPr>
      <w:r>
        <w:t xml:space="preserve">1. Добавить новый тип документа для выгрузки. Для этого предусмотрен скрипт </w:t>
      </w:r>
      <w:r w:rsidR="00454E58" w:rsidRPr="00377896">
        <w:t>sprdok_vedom_c.sql</w:t>
      </w:r>
      <w:r>
        <w:t xml:space="preserve">. </w:t>
      </w:r>
    </w:p>
    <w:p w14:paraId="199B8F19" w14:textId="3D7F48C2" w:rsidR="00BC2D9B" w:rsidRDefault="00BC2D9B" w:rsidP="00BC2D9B">
      <w:pPr>
        <w:pStyle w:val="a1"/>
        <w:spacing w:before="0"/>
        <w:ind w:left="425" w:hanging="425"/>
      </w:pPr>
      <w:r>
        <w:t>2.</w:t>
      </w:r>
      <w:r>
        <w:tab/>
        <w:t>Ведомость перечисления под отчет доступна в пункте меню «Документы</w:t>
      </w:r>
      <w:r w:rsidRPr="00BC2D9B">
        <w:t>/</w:t>
      </w:r>
      <w:r>
        <w:t xml:space="preserve">Ведомость перечисления под отчет». Для выполнения выгрузки служит кнопка «Выгрузка в банк» </w:t>
      </w:r>
      <w:r>
        <w:rPr>
          <w:noProof/>
          <w:lang w:eastAsia="ru-RU"/>
        </w:rPr>
        <w:drawing>
          <wp:inline distT="0" distB="0" distL="0" distR="0" wp14:anchorId="1C87AC10" wp14:editId="0AB17041">
            <wp:extent cx="2286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в табличной форме ведомости.</w:t>
      </w:r>
    </w:p>
    <w:p w14:paraId="2267520E" w14:textId="090B828A" w:rsidR="00BC2D9B" w:rsidRDefault="00BC2D9B" w:rsidP="00BC2D9B">
      <w:pPr>
        <w:pStyle w:val="a1"/>
        <w:spacing w:before="0"/>
        <w:ind w:left="426"/>
      </w:pPr>
      <w:r>
        <w:t xml:space="preserve">Перед этим необходимо выполнить стандартные операции по сборку сумм за расчетный месяц. </w:t>
      </w:r>
      <w:r w:rsidRPr="003852CE">
        <w:t xml:space="preserve"> </w:t>
      </w:r>
      <w:r>
        <w:t>Для ввода параметров выгрузки используется диалог следующего вида:</w:t>
      </w:r>
    </w:p>
    <w:p w14:paraId="6CB1E5AE" w14:textId="5F60AE35" w:rsidR="00BC2D9B" w:rsidRDefault="00BC2D9B" w:rsidP="00BC2D9B">
      <w:pPr>
        <w:pStyle w:val="a1"/>
        <w:spacing w:before="0"/>
        <w:jc w:val="center"/>
      </w:pPr>
      <w:r>
        <w:rPr>
          <w:noProof/>
          <w:lang w:eastAsia="ru-RU"/>
        </w:rPr>
        <w:drawing>
          <wp:inline distT="0" distB="0" distL="0" distR="0" wp14:anchorId="1D09AC76" wp14:editId="32AD1CDC">
            <wp:extent cx="4667250" cy="4629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4629150"/>
                    </a:xfrm>
                    <a:prstGeom prst="rect">
                      <a:avLst/>
                    </a:prstGeom>
                    <a:noFill/>
                    <a:ln>
                      <a:noFill/>
                    </a:ln>
                  </pic:spPr>
                </pic:pic>
              </a:graphicData>
            </a:graphic>
          </wp:inline>
        </w:drawing>
      </w:r>
    </w:p>
    <w:p w14:paraId="607241B9" w14:textId="1A50355E" w:rsidR="00454E58" w:rsidRDefault="00454E58" w:rsidP="00454E58">
      <w:pPr>
        <w:pStyle w:val="a1"/>
      </w:pPr>
      <w:r>
        <w:t>Выгрузка производится по тем же правилам, которые действуют при выгрузке ведомости перечисления зарплаты в банк:</w:t>
      </w:r>
    </w:p>
    <w:p w14:paraId="1BFE6DBA" w14:textId="0DEDB1EA" w:rsidR="00AB42D6" w:rsidRDefault="00B300D9" w:rsidP="00B300D9">
      <w:pPr>
        <w:pStyle w:val="a1"/>
        <w:ind w:left="851" w:hanging="426"/>
      </w:pPr>
      <w:r>
        <w:t>1)</w:t>
      </w:r>
      <w:r>
        <w:tab/>
      </w:r>
      <w:r w:rsidR="00AB42D6">
        <w:t>выгрузка производится с учетом признака перечисления, указанного в документе. Если признак перечисления соответствует зарплатному проекту, должен выгружать реестр с перечнем работников</w:t>
      </w:r>
      <w:r w:rsidR="00B01C80">
        <w:t xml:space="preserve"> по правилам этого признака перечисления</w:t>
      </w:r>
      <w:r w:rsidR="00AB42D6">
        <w:t>, а также может формироваться общее платежное поручение (см. подпункт 2). Если признак перечисления соответствует выгрузке в другие банки, должны формироваться платежные поручения в другие банки;</w:t>
      </w:r>
    </w:p>
    <w:p w14:paraId="113E581B" w14:textId="0A5048FE" w:rsidR="009C7D8E" w:rsidRDefault="00AB42D6" w:rsidP="00B300D9">
      <w:pPr>
        <w:pStyle w:val="a1"/>
        <w:ind w:left="851" w:hanging="426"/>
      </w:pPr>
      <w:r>
        <w:t>2)</w:t>
      </w:r>
      <w:r>
        <w:tab/>
      </w:r>
      <w:r w:rsidR="00B300D9">
        <w:t>если в ведомости перечисления</w:t>
      </w:r>
      <w:r w:rsidR="00B01C80">
        <w:t>, соответствующей зарплатному проекту,</w:t>
      </w:r>
      <w:r w:rsidR="00B300D9">
        <w:t xml:space="preserve"> еще не указано</w:t>
      </w:r>
      <w:r w:rsidR="00B300D9" w:rsidRPr="00B300D9">
        <w:t xml:space="preserve"> </w:t>
      </w:r>
      <w:r w:rsidR="00B300D9">
        <w:t>платежное поручение, диалог выгрузки н предусматрива</w:t>
      </w:r>
      <w:r w:rsidR="00377896">
        <w:t>ет</w:t>
      </w:r>
      <w:r w:rsidR="00B300D9">
        <w:t xml:space="preserve"> одновременное формирование </w:t>
      </w:r>
      <w:r w:rsidR="00B300D9">
        <w:lastRenderedPageBreak/>
        <w:t>платежного поручения и реестра с перечнем работников</w:t>
      </w:r>
      <w:r w:rsidR="00B01C80">
        <w:t>. Е</w:t>
      </w:r>
      <w:r w:rsidR="00B300D9">
        <w:t xml:space="preserve">сли в </w:t>
      </w:r>
      <w:r w:rsidR="00B01C80">
        <w:t xml:space="preserve">такой </w:t>
      </w:r>
      <w:r w:rsidR="00B300D9">
        <w:t>ведомости перечисления уже указано платежное поручение, диалог выгрузки предусматрива</w:t>
      </w:r>
      <w:r w:rsidR="00377896">
        <w:t>е</w:t>
      </w:r>
      <w:r w:rsidR="00B300D9">
        <w:t>т только формирование реестра с использованием того платежного поручения, которое уже указано</w:t>
      </w:r>
      <w:r w:rsidR="009C7D8E">
        <w:t xml:space="preserve"> в документе;</w:t>
      </w:r>
    </w:p>
    <w:p w14:paraId="62D62082" w14:textId="728E363A" w:rsidR="00B300D9" w:rsidRDefault="009C7D8E" w:rsidP="00B300D9">
      <w:pPr>
        <w:pStyle w:val="a1"/>
        <w:ind w:left="851" w:hanging="426"/>
      </w:pPr>
      <w:r>
        <w:t>3)</w:t>
      </w:r>
      <w:r>
        <w:tab/>
        <w:t>перед выполнением выгрузки проверя</w:t>
      </w:r>
      <w:r w:rsidR="00377896">
        <w:t>ется</w:t>
      </w:r>
      <w:r>
        <w:t xml:space="preserve"> н</w:t>
      </w:r>
      <w:r w:rsidR="00377896">
        <w:t>а</w:t>
      </w:r>
      <w:r>
        <w:t>личие банковских реквизитов у работников в соответствии с настройкой признака перечисления, указанного в документе. При наличии замечаний</w:t>
      </w:r>
      <w:r w:rsidR="00AF027D">
        <w:t>, перечень работников с замечаниями выводится в табличной форме, допускающей непосредственную корректировку банковских реквизитов через экранную форму, вызванную из текущей строки табличной формы</w:t>
      </w:r>
      <w:r w:rsidR="00B300D9">
        <w:t>.</w:t>
      </w:r>
    </w:p>
    <w:p w14:paraId="2E064A96" w14:textId="3477292D" w:rsidR="00B300D9" w:rsidRDefault="00B300D9" w:rsidP="00B300D9">
      <w:pPr>
        <w:pStyle w:val="a1"/>
        <w:ind w:left="426" w:hanging="426"/>
      </w:pPr>
      <w:r>
        <w:t>3.</w:t>
      </w:r>
      <w:r>
        <w:tab/>
      </w:r>
      <w:r w:rsidR="00377896">
        <w:t>Р</w:t>
      </w:r>
      <w:r>
        <w:t xml:space="preserve">азработана типовая операция </w:t>
      </w:r>
      <w:r w:rsidR="004E132F">
        <w:t xml:space="preserve">(включая запрос для функции </w:t>
      </w:r>
      <w:r w:rsidR="004E132F" w:rsidRPr="004E132F">
        <w:t>СУМ_ДАННЫЕ</w:t>
      </w:r>
      <w:r w:rsidR="004E132F">
        <w:t>)</w:t>
      </w:r>
      <w:r>
        <w:t>, которые обеспечива</w:t>
      </w:r>
      <w:r w:rsidR="00377896">
        <w:t xml:space="preserve">ют </w:t>
      </w:r>
      <w:r>
        <w:t>проводку платежного поручения с аналитическим расщеплением по табельным номерам работников – для тех счетов, для которых предусмотрена аналитика по табельным номерам</w:t>
      </w:r>
      <w:r w:rsidR="0082783D">
        <w:t xml:space="preserve"> </w:t>
      </w:r>
      <w:r w:rsidR="00377896">
        <w:t>(</w:t>
      </w:r>
      <w:r w:rsidR="0082783D">
        <w:t>например, счет 71 /11)</w:t>
      </w:r>
      <w:r>
        <w:t>.</w:t>
      </w:r>
      <w:r w:rsidR="00287479">
        <w:t xml:space="preserve"> Типовая операция </w:t>
      </w:r>
      <w:r w:rsidR="002C1A3F">
        <w:t>предназначена</w:t>
      </w:r>
      <w:r w:rsidR="00287479">
        <w:t xml:space="preserve"> только для тех платежных поручений, которые сформированы из ведомостей перечисления, соответствующих зар</w:t>
      </w:r>
      <w:r w:rsidR="006D0AC7">
        <w:t>п</w:t>
      </w:r>
      <w:r w:rsidR="00287479">
        <w:t>латному проекту.</w:t>
      </w:r>
    </w:p>
    <w:p w14:paraId="2C08A125" w14:textId="77777777" w:rsidR="0092088A" w:rsidRPr="00A57ACF" w:rsidRDefault="0092088A" w:rsidP="0092088A">
      <w:pPr>
        <w:pStyle w:val="a1"/>
        <w:spacing w:before="0"/>
        <w:ind w:left="425" w:hanging="425"/>
        <w:rPr>
          <w:rFonts w:cs="Times New Roman"/>
          <w:u w:val="single"/>
        </w:rPr>
      </w:pPr>
      <w:r w:rsidRPr="00A57ACF">
        <w:rPr>
          <w:rFonts w:cs="Times New Roman"/>
          <w:u w:val="single"/>
        </w:rPr>
        <w:t>ОБРАТИТЕ ВНИМАНИЕ:</w:t>
      </w:r>
    </w:p>
    <w:p w14:paraId="2D537C91" w14:textId="67E54015" w:rsidR="0092088A" w:rsidRPr="0092088A" w:rsidRDefault="0092088A" w:rsidP="0092088A">
      <w:pPr>
        <w:pStyle w:val="a1"/>
        <w:spacing w:before="0"/>
        <w:rPr>
          <w:rFonts w:cs="Times New Roman"/>
        </w:rPr>
      </w:pPr>
      <w:r w:rsidRPr="0092088A">
        <w:rPr>
          <w:rFonts w:cs="Times New Roman"/>
        </w:rPr>
        <w:t xml:space="preserve">  1) в процессе отладки доработки пришло понимание того, что</w:t>
      </w:r>
      <w:r>
        <w:rPr>
          <w:rFonts w:cs="Times New Roman"/>
        </w:rPr>
        <w:t xml:space="preserve"> нельзя в справочнике "Признаки п</w:t>
      </w:r>
      <w:r w:rsidRPr="0092088A">
        <w:rPr>
          <w:rFonts w:cs="Times New Roman"/>
        </w:rPr>
        <w:t>еречисления зарплаты в банк" (BANK_PRIZ)</w:t>
      </w:r>
      <w:r>
        <w:rPr>
          <w:rFonts w:cs="Times New Roman"/>
        </w:rPr>
        <w:t xml:space="preserve"> </w:t>
      </w:r>
      <w:r w:rsidRPr="0092088A">
        <w:rPr>
          <w:rFonts w:cs="Times New Roman"/>
        </w:rPr>
        <w:t xml:space="preserve">использовать один и тот же шаблон назначения платежа для зарплаты и </w:t>
      </w:r>
      <w:r>
        <w:rPr>
          <w:rFonts w:cs="Times New Roman"/>
        </w:rPr>
        <w:t xml:space="preserve"> </w:t>
      </w:r>
      <w:r w:rsidRPr="0092088A">
        <w:rPr>
          <w:rFonts w:cs="Times New Roman"/>
        </w:rPr>
        <w:t>для подотчетных сумм. В связи с этим в справочник добавлена еще одна</w:t>
      </w:r>
    </w:p>
    <w:p w14:paraId="76DE9D37" w14:textId="77777777" w:rsidR="0092088A" w:rsidRPr="0092088A" w:rsidRDefault="0092088A" w:rsidP="0092088A">
      <w:pPr>
        <w:pStyle w:val="a1"/>
        <w:spacing w:before="0"/>
        <w:rPr>
          <w:rFonts w:cs="Times New Roman"/>
        </w:rPr>
      </w:pPr>
      <w:r w:rsidRPr="0092088A">
        <w:rPr>
          <w:rFonts w:cs="Times New Roman"/>
        </w:rPr>
        <w:t>колонка, которая используется для подотчетных сумм;</w:t>
      </w:r>
    </w:p>
    <w:p w14:paraId="36CB96DD" w14:textId="5C438368" w:rsidR="0092088A" w:rsidRPr="0092088A" w:rsidRDefault="0092088A" w:rsidP="0092088A">
      <w:pPr>
        <w:pStyle w:val="a1"/>
        <w:spacing w:before="0"/>
        <w:rPr>
          <w:rFonts w:cs="Times New Roman"/>
        </w:rPr>
      </w:pPr>
      <w:r>
        <w:rPr>
          <w:rFonts w:cs="Times New Roman"/>
        </w:rPr>
        <w:t xml:space="preserve"> </w:t>
      </w:r>
      <w:r w:rsidRPr="0092088A">
        <w:rPr>
          <w:rFonts w:cs="Times New Roman"/>
        </w:rPr>
        <w:t>2) скрипт sprdok_vedom_c.sql создает тип документа для ведомости перечисления подотчетных сумм как имеющий отношение "выдача денег"</w:t>
      </w:r>
      <w:r>
        <w:rPr>
          <w:rFonts w:cs="Times New Roman"/>
        </w:rPr>
        <w:t xml:space="preserve"> </w:t>
      </w:r>
      <w:r w:rsidRPr="0092088A">
        <w:rPr>
          <w:rFonts w:cs="Times New Roman"/>
        </w:rPr>
        <w:t>к расчетам с подотчетными лицами. Это позволяет создавать авансовые отчеты на основании одного или нескольких документов такого типа.При этом заполняются данные об авансе на соответствующей закладке.Но чтобы при этом можно было выбрать конкретного работника из тех,</w:t>
      </w:r>
      <w:r>
        <w:rPr>
          <w:rFonts w:cs="Times New Roman"/>
        </w:rPr>
        <w:t xml:space="preserve"> </w:t>
      </w:r>
      <w:r w:rsidRPr="0092088A">
        <w:rPr>
          <w:rFonts w:cs="Times New Roman"/>
        </w:rPr>
        <w:t>которые упомянуты в ведомости перечисления, указанный скрипт также обеспечивает настройку типов документа для авансовых отчетов: на</w:t>
      </w:r>
      <w:r>
        <w:rPr>
          <w:rFonts w:cs="Times New Roman"/>
        </w:rPr>
        <w:t xml:space="preserve"> </w:t>
      </w:r>
      <w:r w:rsidRPr="0092088A">
        <w:rPr>
          <w:rFonts w:cs="Times New Roman"/>
        </w:rPr>
        <w:t>закладке "Реестр / Процедуры" в поле "При открытии экранной формы" устанавливается псевдоним процедуры События.AVOT_OPEN_SF. Данная</w:t>
      </w:r>
      <w:r>
        <w:rPr>
          <w:rFonts w:cs="Times New Roman"/>
        </w:rPr>
        <w:t xml:space="preserve"> </w:t>
      </w:r>
      <w:r w:rsidRPr="0092088A">
        <w:rPr>
          <w:rFonts w:cs="Times New Roman"/>
        </w:rPr>
        <w:t>процедура должна быть во всех модулях, которые используются для рабо</w:t>
      </w:r>
      <w:r w:rsidR="00A57ACF">
        <w:rPr>
          <w:rFonts w:cs="Times New Roman"/>
        </w:rPr>
        <w:t xml:space="preserve">ты с авансовыми отчетами. Если </w:t>
      </w:r>
      <w:r w:rsidRPr="0092088A">
        <w:rPr>
          <w:rFonts w:cs="Times New Roman"/>
        </w:rPr>
        <w:t>указанное поле уже</w:t>
      </w:r>
      <w:r>
        <w:rPr>
          <w:rFonts w:cs="Times New Roman"/>
        </w:rPr>
        <w:t xml:space="preserve"> </w:t>
      </w:r>
      <w:r w:rsidRPr="0092088A">
        <w:rPr>
          <w:rFonts w:cs="Times New Roman"/>
        </w:rPr>
        <w:t>заполнено другим значением, значение не меняется</w:t>
      </w:r>
      <w:r w:rsidR="00A57ACF">
        <w:rPr>
          <w:rFonts w:cs="Times New Roman"/>
        </w:rPr>
        <w:t xml:space="preserve">. Но в этом случае в процедуру </w:t>
      </w:r>
      <w:r w:rsidRPr="0092088A">
        <w:rPr>
          <w:rFonts w:cs="Times New Roman"/>
        </w:rPr>
        <w:t>надо внести изменение, чтобы выполнялись те</w:t>
      </w:r>
      <w:r>
        <w:rPr>
          <w:rFonts w:cs="Times New Roman"/>
        </w:rPr>
        <w:t xml:space="preserve"> </w:t>
      </w:r>
      <w:r w:rsidRPr="0092088A">
        <w:rPr>
          <w:rFonts w:cs="Times New Roman"/>
        </w:rPr>
        <w:t>же действия, которые выполняются в процедуре События.AVOT_OPEN_SF;</w:t>
      </w:r>
    </w:p>
    <w:p w14:paraId="5D124FC8" w14:textId="12C90A0E" w:rsidR="009F64BA" w:rsidRPr="0092088A" w:rsidRDefault="0092088A" w:rsidP="0092088A">
      <w:pPr>
        <w:pStyle w:val="a1"/>
        <w:spacing w:before="0"/>
        <w:rPr>
          <w:rFonts w:cs="Times New Roman"/>
        </w:rPr>
      </w:pPr>
      <w:r w:rsidRPr="0092088A">
        <w:rPr>
          <w:rFonts w:cs="Times New Roman"/>
        </w:rPr>
        <w:t xml:space="preserve">   3) для проводки ведомостей перечисления разработана типовая операция VEDC, которая при выполнении скрипта sprdok_vedom_c.sql</w:t>
      </w:r>
      <w:r>
        <w:rPr>
          <w:rFonts w:cs="Times New Roman"/>
        </w:rPr>
        <w:t xml:space="preserve"> </w:t>
      </w:r>
      <w:r w:rsidRPr="0092088A">
        <w:rPr>
          <w:rFonts w:cs="Times New Roman"/>
        </w:rPr>
        <w:t>добавляется в справочник и подключается к типу документа. В этой типовой операции использованы стандартные счета 71/ и 51/. При</w:t>
      </w:r>
      <w:r>
        <w:rPr>
          <w:rFonts w:cs="Times New Roman"/>
        </w:rPr>
        <w:t xml:space="preserve"> </w:t>
      </w:r>
      <w:r w:rsidRPr="0092088A">
        <w:rPr>
          <w:rFonts w:cs="Times New Roman"/>
        </w:rPr>
        <w:t>этом предполагается, что счет 71/ является аналитическим, а счет 51/ является синтетическим. Счета в типовой операции могут быть</w:t>
      </w:r>
      <w:r>
        <w:rPr>
          <w:rFonts w:cs="Times New Roman"/>
        </w:rPr>
        <w:t xml:space="preserve"> </w:t>
      </w:r>
      <w:r w:rsidRPr="0092088A">
        <w:rPr>
          <w:rFonts w:cs="Times New Roman"/>
        </w:rPr>
        <w:t>при необходимости изменены, Также к типу документа может быть подключено несколько типовых операций с разными счетами.</w:t>
      </w:r>
    </w:p>
    <w:sectPr w:rsidR="009F64BA" w:rsidRPr="0092088A" w:rsidSect="004D0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A2E05"/>
    <w:multiLevelType w:val="hybridMultilevel"/>
    <w:tmpl w:val="4F74967E"/>
    <w:lvl w:ilvl="0" w:tplc="763C7F32">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5F"/>
    <w:rsid w:val="00024DAF"/>
    <w:rsid w:val="00084435"/>
    <w:rsid w:val="00103E5F"/>
    <w:rsid w:val="001156B9"/>
    <w:rsid w:val="00151418"/>
    <w:rsid w:val="00182136"/>
    <w:rsid w:val="0018513E"/>
    <w:rsid w:val="00287479"/>
    <w:rsid w:val="002C1A3F"/>
    <w:rsid w:val="003755BF"/>
    <w:rsid w:val="00377896"/>
    <w:rsid w:val="003F5815"/>
    <w:rsid w:val="004411AF"/>
    <w:rsid w:val="00454E58"/>
    <w:rsid w:val="004D09FB"/>
    <w:rsid w:val="004E132F"/>
    <w:rsid w:val="00502C10"/>
    <w:rsid w:val="005611D0"/>
    <w:rsid w:val="00694A98"/>
    <w:rsid w:val="006D0AC7"/>
    <w:rsid w:val="006F5CCF"/>
    <w:rsid w:val="00802650"/>
    <w:rsid w:val="0081164B"/>
    <w:rsid w:val="0082783D"/>
    <w:rsid w:val="00901742"/>
    <w:rsid w:val="0092088A"/>
    <w:rsid w:val="009C7D8E"/>
    <w:rsid w:val="009F64BA"/>
    <w:rsid w:val="00A57ACF"/>
    <w:rsid w:val="00AB42D6"/>
    <w:rsid w:val="00AF027D"/>
    <w:rsid w:val="00B01C80"/>
    <w:rsid w:val="00B04691"/>
    <w:rsid w:val="00B10934"/>
    <w:rsid w:val="00B300D9"/>
    <w:rsid w:val="00B56BFD"/>
    <w:rsid w:val="00BC2D9B"/>
    <w:rsid w:val="00CB5966"/>
    <w:rsid w:val="00CE7524"/>
    <w:rsid w:val="00DF0B02"/>
    <w:rsid w:val="00E2090B"/>
    <w:rsid w:val="00E55599"/>
    <w:rsid w:val="00EA0E3A"/>
    <w:rsid w:val="00F9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94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90B"/>
    <w:pPr>
      <w:spacing w:after="0" w:line="240" w:lineRule="auto"/>
    </w:pPr>
    <w:rPr>
      <w:rFonts w:ascii="Times New Roman" w:hAnsi="Times New Roman"/>
      <w:sz w:val="20"/>
    </w:rPr>
  </w:style>
  <w:style w:type="paragraph" w:styleId="1">
    <w:name w:val="heading 1"/>
    <w:basedOn w:val="a0"/>
    <w:next w:val="a1"/>
    <w:link w:val="10"/>
    <w:uiPriority w:val="9"/>
    <w:qFormat/>
    <w:rsid w:val="003755BF"/>
    <w:pPr>
      <w:keepNext/>
      <w:keepLines/>
      <w:spacing w:before="240" w:after="60"/>
      <w:outlineLvl w:val="0"/>
    </w:pPr>
    <w:rPr>
      <w:rFonts w:ascii="Arial" w:eastAsiaTheme="majorEastAsia" w:hAnsi="Arial" w:cstheme="majorBidi"/>
      <w:b/>
      <w:sz w:val="32"/>
      <w:szCs w:val="32"/>
    </w:rPr>
  </w:style>
  <w:style w:type="paragraph" w:styleId="2">
    <w:name w:val="heading 2"/>
    <w:basedOn w:val="a0"/>
    <w:next w:val="a1"/>
    <w:link w:val="20"/>
    <w:uiPriority w:val="9"/>
    <w:semiHidden/>
    <w:unhideWhenUsed/>
    <w:qFormat/>
    <w:rsid w:val="003F5815"/>
    <w:pPr>
      <w:keepNext/>
      <w:keepLines/>
      <w:spacing w:before="240" w:after="60"/>
      <w:outlineLvl w:val="1"/>
    </w:pPr>
    <w:rPr>
      <w:rFonts w:ascii="Arial" w:eastAsiaTheme="majorEastAsia" w:hAnsi="Arial" w:cstheme="majorBidi"/>
      <w:b/>
      <w:sz w:val="24"/>
      <w:szCs w:val="26"/>
    </w:rPr>
  </w:style>
  <w:style w:type="paragraph" w:styleId="3">
    <w:name w:val="heading 3"/>
    <w:basedOn w:val="a0"/>
    <w:next w:val="a1"/>
    <w:link w:val="30"/>
    <w:uiPriority w:val="9"/>
    <w:semiHidden/>
    <w:unhideWhenUsed/>
    <w:qFormat/>
    <w:rsid w:val="00DF0B02"/>
    <w:pPr>
      <w:keepNext/>
      <w:keepLines/>
      <w:spacing w:before="240" w:after="60"/>
      <w:outlineLvl w:val="2"/>
    </w:pPr>
    <w:rPr>
      <w:rFonts w:ascii="Arial" w:eastAsiaTheme="majorEastAsia" w:hAnsi="Arial" w:cstheme="majorBid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E2090B"/>
    <w:pPr>
      <w:spacing w:before="120"/>
      <w:jc w:val="both"/>
    </w:pPr>
    <w:rPr>
      <w:sz w:val="22"/>
    </w:rPr>
  </w:style>
  <w:style w:type="character" w:customStyle="1" w:styleId="a5">
    <w:name w:val="Основной текст Знак"/>
    <w:basedOn w:val="a2"/>
    <w:link w:val="a1"/>
    <w:uiPriority w:val="99"/>
    <w:rsid w:val="00E2090B"/>
    <w:rPr>
      <w:rFonts w:ascii="Times New Roman" w:hAnsi="Times New Roman"/>
    </w:rPr>
  </w:style>
  <w:style w:type="character" w:customStyle="1" w:styleId="10">
    <w:name w:val="Заголовок 1 Знак"/>
    <w:basedOn w:val="a2"/>
    <w:link w:val="1"/>
    <w:uiPriority w:val="9"/>
    <w:rsid w:val="003755BF"/>
    <w:rPr>
      <w:rFonts w:ascii="Arial" w:eastAsiaTheme="majorEastAsia" w:hAnsi="Arial" w:cstheme="majorBidi"/>
      <w:b/>
      <w:sz w:val="32"/>
      <w:szCs w:val="32"/>
    </w:rPr>
  </w:style>
  <w:style w:type="character" w:customStyle="1" w:styleId="20">
    <w:name w:val="Заголовок 2 Знак"/>
    <w:basedOn w:val="a2"/>
    <w:link w:val="2"/>
    <w:uiPriority w:val="9"/>
    <w:semiHidden/>
    <w:rsid w:val="003F5815"/>
    <w:rPr>
      <w:rFonts w:ascii="Arial" w:eastAsiaTheme="majorEastAsia" w:hAnsi="Arial" w:cstheme="majorBidi"/>
      <w:b/>
      <w:sz w:val="24"/>
      <w:szCs w:val="26"/>
    </w:rPr>
  </w:style>
  <w:style w:type="character" w:customStyle="1" w:styleId="30">
    <w:name w:val="Заголовок 3 Знак"/>
    <w:basedOn w:val="a2"/>
    <w:link w:val="3"/>
    <w:uiPriority w:val="9"/>
    <w:semiHidden/>
    <w:rsid w:val="00DF0B02"/>
    <w:rPr>
      <w:rFonts w:ascii="Arial" w:eastAsiaTheme="majorEastAsia" w:hAnsi="Arial" w:cstheme="majorBidi"/>
      <w:sz w:val="24"/>
      <w:szCs w:val="24"/>
    </w:rPr>
  </w:style>
  <w:style w:type="paragraph" w:customStyle="1" w:styleId="a">
    <w:name w:val="Перечисление слитно"/>
    <w:basedOn w:val="a1"/>
    <w:qFormat/>
    <w:rsid w:val="00E2090B"/>
    <w:pPr>
      <w:numPr>
        <w:numId w:val="1"/>
      </w:numPr>
      <w:spacing w:before="0"/>
    </w:pPr>
  </w:style>
  <w:style w:type="paragraph" w:customStyle="1" w:styleId="a6">
    <w:name w:val="Заголовок документа"/>
    <w:basedOn w:val="a0"/>
    <w:next w:val="a1"/>
    <w:qFormat/>
    <w:rsid w:val="0018513E"/>
    <w:pPr>
      <w:jc w:val="center"/>
    </w:pPr>
    <w:rPr>
      <w:rFonts w:ascii="Arial" w:hAnsi="Arial"/>
      <w:b/>
      <w:sz w:val="36"/>
    </w:rPr>
  </w:style>
  <w:style w:type="paragraph" w:styleId="a7">
    <w:name w:val="Note Heading"/>
    <w:basedOn w:val="a0"/>
    <w:next w:val="a0"/>
    <w:link w:val="a8"/>
    <w:uiPriority w:val="99"/>
    <w:semiHidden/>
    <w:unhideWhenUsed/>
    <w:rsid w:val="00E2090B"/>
  </w:style>
  <w:style w:type="character" w:customStyle="1" w:styleId="a8">
    <w:name w:val="Заголовок записки Знак"/>
    <w:basedOn w:val="a2"/>
    <w:link w:val="a7"/>
    <w:uiPriority w:val="99"/>
    <w:semiHidden/>
    <w:rsid w:val="00E2090B"/>
    <w:rPr>
      <w:rFonts w:ascii="Times New Roman" w:hAnsi="Times New Roman"/>
      <w:sz w:val="20"/>
    </w:rPr>
  </w:style>
  <w:style w:type="paragraph" w:styleId="a9">
    <w:name w:val="Balloon Text"/>
    <w:basedOn w:val="a0"/>
    <w:link w:val="aa"/>
    <w:uiPriority w:val="99"/>
    <w:semiHidden/>
    <w:unhideWhenUsed/>
    <w:rsid w:val="00E55599"/>
    <w:rPr>
      <w:rFonts w:ascii="Tahoma" w:hAnsi="Tahoma" w:cs="Tahoma"/>
      <w:sz w:val="16"/>
      <w:szCs w:val="16"/>
    </w:rPr>
  </w:style>
  <w:style w:type="character" w:customStyle="1" w:styleId="aa">
    <w:name w:val="Текст выноски Знак"/>
    <w:basedOn w:val="a2"/>
    <w:link w:val="a9"/>
    <w:uiPriority w:val="99"/>
    <w:semiHidden/>
    <w:rsid w:val="00E55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90B"/>
    <w:pPr>
      <w:spacing w:after="0" w:line="240" w:lineRule="auto"/>
    </w:pPr>
    <w:rPr>
      <w:rFonts w:ascii="Times New Roman" w:hAnsi="Times New Roman"/>
      <w:sz w:val="20"/>
    </w:rPr>
  </w:style>
  <w:style w:type="paragraph" w:styleId="1">
    <w:name w:val="heading 1"/>
    <w:basedOn w:val="a0"/>
    <w:next w:val="a1"/>
    <w:link w:val="10"/>
    <w:uiPriority w:val="9"/>
    <w:qFormat/>
    <w:rsid w:val="003755BF"/>
    <w:pPr>
      <w:keepNext/>
      <w:keepLines/>
      <w:spacing w:before="240" w:after="60"/>
      <w:outlineLvl w:val="0"/>
    </w:pPr>
    <w:rPr>
      <w:rFonts w:ascii="Arial" w:eastAsiaTheme="majorEastAsia" w:hAnsi="Arial" w:cstheme="majorBidi"/>
      <w:b/>
      <w:sz w:val="32"/>
      <w:szCs w:val="32"/>
    </w:rPr>
  </w:style>
  <w:style w:type="paragraph" w:styleId="2">
    <w:name w:val="heading 2"/>
    <w:basedOn w:val="a0"/>
    <w:next w:val="a1"/>
    <w:link w:val="20"/>
    <w:uiPriority w:val="9"/>
    <w:semiHidden/>
    <w:unhideWhenUsed/>
    <w:qFormat/>
    <w:rsid w:val="003F5815"/>
    <w:pPr>
      <w:keepNext/>
      <w:keepLines/>
      <w:spacing w:before="240" w:after="60"/>
      <w:outlineLvl w:val="1"/>
    </w:pPr>
    <w:rPr>
      <w:rFonts w:ascii="Arial" w:eastAsiaTheme="majorEastAsia" w:hAnsi="Arial" w:cstheme="majorBidi"/>
      <w:b/>
      <w:sz w:val="24"/>
      <w:szCs w:val="26"/>
    </w:rPr>
  </w:style>
  <w:style w:type="paragraph" w:styleId="3">
    <w:name w:val="heading 3"/>
    <w:basedOn w:val="a0"/>
    <w:next w:val="a1"/>
    <w:link w:val="30"/>
    <w:uiPriority w:val="9"/>
    <w:semiHidden/>
    <w:unhideWhenUsed/>
    <w:qFormat/>
    <w:rsid w:val="00DF0B02"/>
    <w:pPr>
      <w:keepNext/>
      <w:keepLines/>
      <w:spacing w:before="240" w:after="60"/>
      <w:outlineLvl w:val="2"/>
    </w:pPr>
    <w:rPr>
      <w:rFonts w:ascii="Arial" w:eastAsiaTheme="majorEastAsia" w:hAnsi="Arial" w:cstheme="majorBid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E2090B"/>
    <w:pPr>
      <w:spacing w:before="120"/>
      <w:jc w:val="both"/>
    </w:pPr>
    <w:rPr>
      <w:sz w:val="22"/>
    </w:rPr>
  </w:style>
  <w:style w:type="character" w:customStyle="1" w:styleId="a5">
    <w:name w:val="Основной текст Знак"/>
    <w:basedOn w:val="a2"/>
    <w:link w:val="a1"/>
    <w:uiPriority w:val="99"/>
    <w:rsid w:val="00E2090B"/>
    <w:rPr>
      <w:rFonts w:ascii="Times New Roman" w:hAnsi="Times New Roman"/>
    </w:rPr>
  </w:style>
  <w:style w:type="character" w:customStyle="1" w:styleId="10">
    <w:name w:val="Заголовок 1 Знак"/>
    <w:basedOn w:val="a2"/>
    <w:link w:val="1"/>
    <w:uiPriority w:val="9"/>
    <w:rsid w:val="003755BF"/>
    <w:rPr>
      <w:rFonts w:ascii="Arial" w:eastAsiaTheme="majorEastAsia" w:hAnsi="Arial" w:cstheme="majorBidi"/>
      <w:b/>
      <w:sz w:val="32"/>
      <w:szCs w:val="32"/>
    </w:rPr>
  </w:style>
  <w:style w:type="character" w:customStyle="1" w:styleId="20">
    <w:name w:val="Заголовок 2 Знак"/>
    <w:basedOn w:val="a2"/>
    <w:link w:val="2"/>
    <w:uiPriority w:val="9"/>
    <w:semiHidden/>
    <w:rsid w:val="003F5815"/>
    <w:rPr>
      <w:rFonts w:ascii="Arial" w:eastAsiaTheme="majorEastAsia" w:hAnsi="Arial" w:cstheme="majorBidi"/>
      <w:b/>
      <w:sz w:val="24"/>
      <w:szCs w:val="26"/>
    </w:rPr>
  </w:style>
  <w:style w:type="character" w:customStyle="1" w:styleId="30">
    <w:name w:val="Заголовок 3 Знак"/>
    <w:basedOn w:val="a2"/>
    <w:link w:val="3"/>
    <w:uiPriority w:val="9"/>
    <w:semiHidden/>
    <w:rsid w:val="00DF0B02"/>
    <w:rPr>
      <w:rFonts w:ascii="Arial" w:eastAsiaTheme="majorEastAsia" w:hAnsi="Arial" w:cstheme="majorBidi"/>
      <w:sz w:val="24"/>
      <w:szCs w:val="24"/>
    </w:rPr>
  </w:style>
  <w:style w:type="paragraph" w:customStyle="1" w:styleId="a">
    <w:name w:val="Перечисление слитно"/>
    <w:basedOn w:val="a1"/>
    <w:qFormat/>
    <w:rsid w:val="00E2090B"/>
    <w:pPr>
      <w:numPr>
        <w:numId w:val="1"/>
      </w:numPr>
      <w:spacing w:before="0"/>
    </w:pPr>
  </w:style>
  <w:style w:type="paragraph" w:customStyle="1" w:styleId="a6">
    <w:name w:val="Заголовок документа"/>
    <w:basedOn w:val="a0"/>
    <w:next w:val="a1"/>
    <w:qFormat/>
    <w:rsid w:val="0018513E"/>
    <w:pPr>
      <w:jc w:val="center"/>
    </w:pPr>
    <w:rPr>
      <w:rFonts w:ascii="Arial" w:hAnsi="Arial"/>
      <w:b/>
      <w:sz w:val="36"/>
    </w:rPr>
  </w:style>
  <w:style w:type="paragraph" w:styleId="a7">
    <w:name w:val="Note Heading"/>
    <w:basedOn w:val="a0"/>
    <w:next w:val="a0"/>
    <w:link w:val="a8"/>
    <w:uiPriority w:val="99"/>
    <w:semiHidden/>
    <w:unhideWhenUsed/>
    <w:rsid w:val="00E2090B"/>
  </w:style>
  <w:style w:type="character" w:customStyle="1" w:styleId="a8">
    <w:name w:val="Заголовок записки Знак"/>
    <w:basedOn w:val="a2"/>
    <w:link w:val="a7"/>
    <w:uiPriority w:val="99"/>
    <w:semiHidden/>
    <w:rsid w:val="00E2090B"/>
    <w:rPr>
      <w:rFonts w:ascii="Times New Roman" w:hAnsi="Times New Roman"/>
      <w:sz w:val="20"/>
    </w:rPr>
  </w:style>
  <w:style w:type="paragraph" w:styleId="a9">
    <w:name w:val="Balloon Text"/>
    <w:basedOn w:val="a0"/>
    <w:link w:val="aa"/>
    <w:uiPriority w:val="99"/>
    <w:semiHidden/>
    <w:unhideWhenUsed/>
    <w:rsid w:val="00E55599"/>
    <w:rPr>
      <w:rFonts w:ascii="Tahoma" w:hAnsi="Tahoma" w:cs="Tahoma"/>
      <w:sz w:val="16"/>
      <w:szCs w:val="16"/>
    </w:rPr>
  </w:style>
  <w:style w:type="character" w:customStyle="1" w:styleId="aa">
    <w:name w:val="Текст выноски Знак"/>
    <w:basedOn w:val="a2"/>
    <w:link w:val="a9"/>
    <w:uiPriority w:val="99"/>
    <w:semiHidden/>
    <w:rsid w:val="00E55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Валентинович</dc:creator>
  <cp:keywords/>
  <dc:description/>
  <cp:lastModifiedBy>Ирина Стерлингова</cp:lastModifiedBy>
  <cp:revision>22</cp:revision>
  <dcterms:created xsi:type="dcterms:W3CDTF">2020-09-14T14:28:00Z</dcterms:created>
  <dcterms:modified xsi:type="dcterms:W3CDTF">2020-12-16T07:53:00Z</dcterms:modified>
</cp:coreProperties>
</file>