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C6" w:rsidRDefault="003725C6" w:rsidP="003725C6">
      <w:pPr>
        <w:pStyle w:val="af"/>
      </w:pPr>
      <w:r>
        <w:t>Банковск</w:t>
      </w:r>
      <w:r w:rsidR="00B04B06">
        <w:t>ая гарантия</w:t>
      </w:r>
    </w:p>
    <w:p w:rsidR="00B04B06" w:rsidRPr="00B04B06" w:rsidRDefault="00B04B06" w:rsidP="00B04B06">
      <w:pPr>
        <w:pStyle w:val="ad"/>
        <w:jc w:val="center"/>
        <w:rPr>
          <w:rFonts w:ascii="Arial" w:hAnsi="Arial" w:cs="Arial"/>
          <w:b/>
          <w:sz w:val="36"/>
          <w:szCs w:val="36"/>
        </w:rPr>
      </w:pPr>
      <w:r w:rsidRPr="00B04B06">
        <w:rPr>
          <w:rFonts w:ascii="Arial" w:hAnsi="Arial" w:cs="Arial"/>
          <w:b/>
          <w:sz w:val="36"/>
          <w:szCs w:val="36"/>
        </w:rPr>
        <w:t>Правила работы</w:t>
      </w:r>
    </w:p>
    <w:sdt>
      <w:sdtPr>
        <w:rPr>
          <w:rFonts w:ascii="Times New Roman" w:eastAsiaTheme="minorHAnsi" w:hAnsi="Times New Roman"/>
          <w:color w:val="auto"/>
          <w:sz w:val="20"/>
          <w:szCs w:val="22"/>
          <w:lang w:eastAsia="en-US"/>
        </w:rPr>
        <w:id w:val="-219596647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  <w:sz w:val="24"/>
          <w:szCs w:val="24"/>
          <w:lang w:eastAsia="ru-RU"/>
        </w:rPr>
      </w:sdtEndPr>
      <w:sdtContent>
        <w:p w:rsidR="003725C6" w:rsidRPr="00AF7FC2" w:rsidRDefault="003725C6" w:rsidP="003725C6">
          <w:pPr>
            <w:pStyle w:val="aa"/>
            <w:rPr>
              <w:rFonts w:ascii="Times New Roman" w:hAnsi="Times New Roman"/>
              <w:color w:val="auto"/>
            </w:rPr>
          </w:pPr>
          <w:r w:rsidRPr="00AF7FC2">
            <w:rPr>
              <w:rFonts w:ascii="Times New Roman" w:hAnsi="Times New Roman"/>
              <w:color w:val="auto"/>
            </w:rPr>
            <w:t>Оглавление</w:t>
          </w:r>
        </w:p>
        <w:p w:rsidR="00567E54" w:rsidRDefault="006F7068">
          <w:pPr>
            <w:pStyle w:val="10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b/>
              <w:bCs/>
            </w:rPr>
            <w:fldChar w:fldCharType="begin"/>
          </w:r>
          <w:r w:rsidR="003725C6"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92844800" w:history="1">
            <w:r w:rsidR="00567E54" w:rsidRPr="006356F9">
              <w:rPr>
                <w:rStyle w:val="ab"/>
                <w:noProof/>
              </w:rPr>
              <w:t>1.</w:t>
            </w:r>
            <w:r w:rsidR="00567E5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67E54" w:rsidRPr="006356F9">
              <w:rPr>
                <w:rStyle w:val="ab"/>
                <w:noProof/>
              </w:rPr>
              <w:t>Введение</w:t>
            </w:r>
            <w:r w:rsidR="00567E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7E54">
              <w:rPr>
                <w:noProof/>
                <w:webHidden/>
              </w:rPr>
              <w:instrText xml:space="preserve"> PAGEREF _Toc192844800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7E54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7E54" w:rsidRDefault="006F7068">
          <w:pPr>
            <w:pStyle w:val="10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2844801" w:history="1">
            <w:r w:rsidR="00567E54" w:rsidRPr="006356F9">
              <w:rPr>
                <w:rStyle w:val="ab"/>
                <w:noProof/>
              </w:rPr>
              <w:t>2.</w:t>
            </w:r>
            <w:r w:rsidR="00567E5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67E54" w:rsidRPr="006356F9">
              <w:rPr>
                <w:rStyle w:val="ab"/>
                <w:noProof/>
              </w:rPr>
              <w:t>Правила работы</w:t>
            </w:r>
            <w:r w:rsidR="00567E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7E54">
              <w:rPr>
                <w:noProof/>
                <w:webHidden/>
              </w:rPr>
              <w:instrText xml:space="preserve"> PAGEREF _Toc192844801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7E5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7E54" w:rsidRDefault="006F7068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2844802" w:history="1">
            <w:r w:rsidR="00567E54" w:rsidRPr="006356F9">
              <w:rPr>
                <w:rStyle w:val="ab"/>
                <w:noProof/>
              </w:rPr>
              <w:t>2.1.</w:t>
            </w:r>
            <w:r w:rsidR="00567E5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67E54" w:rsidRPr="006356F9">
              <w:rPr>
                <w:rStyle w:val="ab"/>
                <w:noProof/>
              </w:rPr>
              <w:t>Табличная форма</w:t>
            </w:r>
            <w:r w:rsidR="00567E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7E54">
              <w:rPr>
                <w:noProof/>
                <w:webHidden/>
              </w:rPr>
              <w:instrText xml:space="preserve"> PAGEREF _Toc192844802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7E5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7E54" w:rsidRDefault="006F7068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2844803" w:history="1">
            <w:r w:rsidR="00567E54" w:rsidRPr="006356F9">
              <w:rPr>
                <w:rStyle w:val="ab"/>
                <w:noProof/>
              </w:rPr>
              <w:t>2.2.</w:t>
            </w:r>
            <w:r w:rsidR="00567E5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67E54" w:rsidRPr="006356F9">
              <w:rPr>
                <w:rStyle w:val="ab"/>
                <w:noProof/>
              </w:rPr>
              <w:t>Экранная форма (карточка)</w:t>
            </w:r>
            <w:r w:rsidR="00567E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7E54">
              <w:rPr>
                <w:noProof/>
                <w:webHidden/>
              </w:rPr>
              <w:instrText xml:space="preserve"> PAGEREF _Toc192844803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7E5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7E54" w:rsidRDefault="006F7068">
          <w:pPr>
            <w:pStyle w:val="10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2844804" w:history="1">
            <w:r w:rsidR="00567E54" w:rsidRPr="006356F9">
              <w:rPr>
                <w:rStyle w:val="ab"/>
                <w:noProof/>
              </w:rPr>
              <w:t>3.</w:t>
            </w:r>
            <w:r w:rsidR="00567E5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67E54" w:rsidRPr="006356F9">
              <w:rPr>
                <w:rStyle w:val="ab"/>
                <w:noProof/>
              </w:rPr>
              <w:t>Заключение</w:t>
            </w:r>
            <w:r w:rsidR="00567E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7E54">
              <w:rPr>
                <w:noProof/>
                <w:webHidden/>
              </w:rPr>
              <w:instrText xml:space="preserve"> PAGEREF _Toc192844804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7E5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25C6" w:rsidRDefault="006F7068" w:rsidP="003725C6">
          <w:r>
            <w:rPr>
              <w:b/>
              <w:bCs/>
            </w:rPr>
            <w:fldChar w:fldCharType="end"/>
          </w:r>
        </w:p>
      </w:sdtContent>
    </w:sdt>
    <w:p w:rsidR="003725C6" w:rsidRPr="00AF7FC2" w:rsidRDefault="003725C6" w:rsidP="003725C6">
      <w:pPr>
        <w:pStyle w:val="ad"/>
      </w:pPr>
    </w:p>
    <w:p w:rsidR="003725C6" w:rsidRDefault="003725C6" w:rsidP="003725C6">
      <w:pPr>
        <w:pStyle w:val="1"/>
      </w:pPr>
      <w:bookmarkStart w:id="0" w:name="_Toc192844800"/>
      <w:r>
        <w:t>Введение</w:t>
      </w:r>
      <w:bookmarkEnd w:id="0"/>
    </w:p>
    <w:p w:rsidR="003725C6" w:rsidRDefault="004969D3" w:rsidP="003725C6">
      <w:pPr>
        <w:pStyle w:val="ad"/>
        <w:ind w:firstLine="708"/>
      </w:pPr>
      <w:r>
        <w:t>В модуле «Бухгалтерия» появилась новая возможность вести учет банковских гарантий (далее БГ) более удобным способом. В частности</w:t>
      </w:r>
      <w:r w:rsidR="0045746C">
        <w:t xml:space="preserve">, </w:t>
      </w:r>
      <w:r>
        <w:t>у</w:t>
      </w:r>
      <w:r w:rsidR="003725C6">
        <w:t xml:space="preserve">совершенствован документооборот по ее обслуживанию. </w:t>
      </w:r>
    </w:p>
    <w:p w:rsidR="000B4D54" w:rsidRDefault="000B4D54" w:rsidP="000B4D54">
      <w:pPr>
        <w:spacing w:before="100" w:beforeAutospacing="1" w:after="100" w:afterAutospacing="1"/>
        <w:ind w:firstLine="708"/>
        <w:jc w:val="both"/>
      </w:pPr>
      <w:r>
        <w:t>Функциональность предназначена для ведения учетного (управленческого) процесса по учету БГ, предоставляет частичные преференции по заполнению документов, создает удобную визуальную информацию по итогам учетных операций БГ. Дает преимущества в наглядности ведения процесса по сравнению с некоторыми весьма популярными программными продуктами. Функциональность создает предпосылки для своего развития, в частности для ведения учетных операций по депозитам и т.д.</w:t>
      </w:r>
    </w:p>
    <w:p w:rsidR="000B4D54" w:rsidRDefault="000B4D54" w:rsidP="000B4D54">
      <w:pPr>
        <w:spacing w:before="100" w:beforeAutospacing="1" w:after="100" w:afterAutospacing="1"/>
        <w:ind w:firstLine="708"/>
        <w:jc w:val="both"/>
      </w:pPr>
      <w:r>
        <w:t>Технология предполагает ввод карточки БГ, после сохранения карточки создание Карточки РБП и ввод новых документов с учетом частичного автозаполнения соответствующих полей.</w:t>
      </w:r>
    </w:p>
    <w:p w:rsidR="003725C6" w:rsidRPr="009D74AC" w:rsidRDefault="00BE7EC3" w:rsidP="003725C6">
      <w:pPr>
        <w:ind w:firstLine="360"/>
        <w:jc w:val="both"/>
        <w:rPr>
          <w:sz w:val="22"/>
        </w:rPr>
      </w:pPr>
      <w:r>
        <w:rPr>
          <w:sz w:val="22"/>
        </w:rPr>
        <w:t>Для начала предлагаем определиться с терминологией</w:t>
      </w:r>
      <w:r w:rsidR="003725C6" w:rsidRPr="009D74AC">
        <w:rPr>
          <w:sz w:val="22"/>
        </w:rPr>
        <w:t xml:space="preserve">. Сторонами независимой гарантии являются: </w:t>
      </w:r>
    </w:p>
    <w:p w:rsidR="003725C6" w:rsidRPr="00DE0FA3" w:rsidRDefault="003725C6" w:rsidP="003725C6">
      <w:pPr>
        <w:pStyle w:val="af0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DE0FA3">
        <w:rPr>
          <w:rFonts w:ascii="Times New Roman" w:hAnsi="Times New Roman" w:cs="Times New Roman"/>
        </w:rPr>
        <w:t xml:space="preserve">Принципал — должник по обязательству, по чьей просьбе </w:t>
      </w:r>
      <w:r>
        <w:rPr>
          <w:rFonts w:ascii="Times New Roman" w:hAnsi="Times New Roman" w:cs="Times New Roman"/>
        </w:rPr>
        <w:t>Г</w:t>
      </w:r>
      <w:r w:rsidRPr="00DE0FA3">
        <w:rPr>
          <w:rFonts w:ascii="Times New Roman" w:hAnsi="Times New Roman" w:cs="Times New Roman"/>
        </w:rPr>
        <w:t xml:space="preserve">арант выдает независимую гарантию; </w:t>
      </w:r>
    </w:p>
    <w:p w:rsidR="003725C6" w:rsidRPr="00DE0FA3" w:rsidRDefault="003725C6" w:rsidP="003725C6">
      <w:pPr>
        <w:pStyle w:val="af0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DE0FA3">
        <w:rPr>
          <w:rFonts w:ascii="Times New Roman" w:hAnsi="Times New Roman" w:cs="Times New Roman"/>
        </w:rPr>
        <w:t xml:space="preserve">Бенефициар — кредитор, в чью пользу выдается независимая гарантия; </w:t>
      </w:r>
    </w:p>
    <w:p w:rsidR="003725C6" w:rsidRPr="00DE0FA3" w:rsidRDefault="003725C6" w:rsidP="003725C6">
      <w:pPr>
        <w:pStyle w:val="af0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DE0FA3">
        <w:rPr>
          <w:rFonts w:ascii="Times New Roman" w:hAnsi="Times New Roman" w:cs="Times New Roman"/>
        </w:rPr>
        <w:t xml:space="preserve">Гарант— принимает на себя обязательство по просьбе </w:t>
      </w:r>
      <w:r>
        <w:rPr>
          <w:rFonts w:ascii="Times New Roman" w:hAnsi="Times New Roman" w:cs="Times New Roman"/>
        </w:rPr>
        <w:t>П</w:t>
      </w:r>
      <w:r w:rsidRPr="00DE0FA3">
        <w:rPr>
          <w:rFonts w:ascii="Times New Roman" w:hAnsi="Times New Roman" w:cs="Times New Roman"/>
        </w:rPr>
        <w:t xml:space="preserve">ринципала уплатить </w:t>
      </w:r>
      <w:r>
        <w:rPr>
          <w:rFonts w:ascii="Times New Roman" w:hAnsi="Times New Roman" w:cs="Times New Roman"/>
        </w:rPr>
        <w:t>Б</w:t>
      </w:r>
      <w:r w:rsidRPr="00DE0FA3">
        <w:rPr>
          <w:rFonts w:ascii="Times New Roman" w:hAnsi="Times New Roman" w:cs="Times New Roman"/>
        </w:rPr>
        <w:t xml:space="preserve">енефициару определенную денежную сумму в соответствии с условиями данного </w:t>
      </w:r>
      <w:r>
        <w:rPr>
          <w:rFonts w:ascii="Times New Roman" w:hAnsi="Times New Roman" w:cs="Times New Roman"/>
        </w:rPr>
        <w:t>Г</w:t>
      </w:r>
      <w:r w:rsidRPr="00DE0FA3">
        <w:rPr>
          <w:rFonts w:ascii="Times New Roman" w:hAnsi="Times New Roman" w:cs="Times New Roman"/>
        </w:rPr>
        <w:t>арантом обязательства.</w:t>
      </w:r>
    </w:p>
    <w:p w:rsidR="003725C6" w:rsidRDefault="003725C6" w:rsidP="003725C6">
      <w:pPr>
        <w:ind w:firstLine="360"/>
        <w:jc w:val="both"/>
        <w:rPr>
          <w:sz w:val="22"/>
        </w:rPr>
      </w:pPr>
      <w:r w:rsidRPr="00DE0FA3">
        <w:rPr>
          <w:sz w:val="22"/>
        </w:rPr>
        <w:t xml:space="preserve">Учет </w:t>
      </w:r>
      <w:r w:rsidR="00BE7EC3">
        <w:rPr>
          <w:sz w:val="22"/>
        </w:rPr>
        <w:t xml:space="preserve">БГ </w:t>
      </w:r>
      <w:r w:rsidRPr="00DE0FA3">
        <w:rPr>
          <w:sz w:val="22"/>
        </w:rPr>
        <w:t>у Бенефициара</w:t>
      </w:r>
      <w:r w:rsidR="00BE7EC3">
        <w:rPr>
          <w:sz w:val="22"/>
        </w:rPr>
        <w:t xml:space="preserve">, </w:t>
      </w:r>
      <w:r w:rsidRPr="00DE0FA3">
        <w:rPr>
          <w:sz w:val="22"/>
        </w:rPr>
        <w:t xml:space="preserve">у Гаранта </w:t>
      </w:r>
      <w:r>
        <w:rPr>
          <w:sz w:val="22"/>
        </w:rPr>
        <w:t xml:space="preserve">(это банк) не </w:t>
      </w:r>
      <w:r w:rsidR="00BE7EC3">
        <w:rPr>
          <w:sz w:val="22"/>
        </w:rPr>
        <w:t xml:space="preserve">рассматривается. </w:t>
      </w:r>
      <w:r w:rsidRPr="00DE0FA3">
        <w:rPr>
          <w:sz w:val="22"/>
        </w:rPr>
        <w:t xml:space="preserve"> Учет у Принципала – это и есть тема текуще</w:t>
      </w:r>
      <w:r w:rsidR="00BE7EC3">
        <w:rPr>
          <w:sz w:val="22"/>
        </w:rPr>
        <w:t>й работы по усовершенствованию функционала</w:t>
      </w:r>
      <w:r w:rsidRPr="00DE0FA3">
        <w:rPr>
          <w:sz w:val="22"/>
        </w:rPr>
        <w:t xml:space="preserve">. Особенности учета банковской гарантии </w:t>
      </w:r>
      <w:r>
        <w:rPr>
          <w:sz w:val="22"/>
        </w:rPr>
        <w:t xml:space="preserve">(БГ) </w:t>
      </w:r>
      <w:r w:rsidRPr="00DE0FA3">
        <w:rPr>
          <w:sz w:val="22"/>
        </w:rPr>
        <w:t xml:space="preserve">у </w:t>
      </w:r>
      <w:r>
        <w:rPr>
          <w:sz w:val="22"/>
        </w:rPr>
        <w:t>П</w:t>
      </w:r>
      <w:r w:rsidRPr="00DE0FA3">
        <w:rPr>
          <w:sz w:val="22"/>
        </w:rPr>
        <w:t>ринципала завис</w:t>
      </w:r>
      <w:r>
        <w:rPr>
          <w:sz w:val="22"/>
        </w:rPr>
        <w:t>я</w:t>
      </w:r>
      <w:r w:rsidRPr="00DE0FA3">
        <w:rPr>
          <w:sz w:val="22"/>
        </w:rPr>
        <w:t>т от того, с чем связано ее получение</w:t>
      </w:r>
      <w:r>
        <w:rPr>
          <w:sz w:val="22"/>
        </w:rPr>
        <w:t>. Как правило</w:t>
      </w:r>
      <w:r w:rsidR="00BE7EC3">
        <w:rPr>
          <w:sz w:val="22"/>
        </w:rPr>
        <w:t>,</w:t>
      </w:r>
      <w:r>
        <w:rPr>
          <w:sz w:val="22"/>
        </w:rPr>
        <w:t xml:space="preserve"> признание затрат оформляется Карточкой РБП и Бухгалтерской справкой. </w:t>
      </w:r>
    </w:p>
    <w:p w:rsidR="00815546" w:rsidRPr="00DE0FA3" w:rsidRDefault="00815546" w:rsidP="003725C6">
      <w:pPr>
        <w:ind w:firstLine="360"/>
        <w:jc w:val="both"/>
        <w:rPr>
          <w:sz w:val="22"/>
        </w:rPr>
      </w:pPr>
      <w:r>
        <w:rPr>
          <w:sz w:val="22"/>
        </w:rPr>
        <w:t>Далее мы рассмотрим основные принципы работы с новым функционалом.</w:t>
      </w:r>
    </w:p>
    <w:p w:rsidR="003725C6" w:rsidRDefault="00872E3C" w:rsidP="005926DC">
      <w:pPr>
        <w:pStyle w:val="1"/>
      </w:pPr>
      <w:bookmarkStart w:id="1" w:name="_Toc192844801"/>
      <w:r w:rsidRPr="005926DC">
        <w:lastRenderedPageBreak/>
        <w:t>Правила работы</w:t>
      </w:r>
      <w:bookmarkEnd w:id="1"/>
    </w:p>
    <w:p w:rsidR="00FD18A8" w:rsidRPr="00FD18A8" w:rsidRDefault="00FD18A8" w:rsidP="00FD18A8">
      <w:pPr>
        <w:pStyle w:val="2"/>
        <w:numPr>
          <w:ilvl w:val="1"/>
          <w:numId w:val="7"/>
        </w:numPr>
      </w:pPr>
      <w:bookmarkStart w:id="2" w:name="_Toc192844802"/>
      <w:r>
        <w:t>Табличная форма</w:t>
      </w:r>
      <w:bookmarkEnd w:id="2"/>
    </w:p>
    <w:p w:rsidR="003725C6" w:rsidRDefault="003725C6" w:rsidP="003725C6">
      <w:pPr>
        <w:pStyle w:val="ad"/>
        <w:ind w:firstLine="357"/>
      </w:pPr>
      <w:r>
        <w:t>В Главное меню пункт Документы (модуль Бухгалтерия) добав</w:t>
      </w:r>
      <w:r w:rsidR="00872E3C">
        <w:t>лен новый пункт меню</w:t>
      </w:r>
      <w:r>
        <w:t xml:space="preserve"> Банковская гарантия. При входе в пункт меню </w:t>
      </w:r>
      <w:r w:rsidR="00872E3C">
        <w:t>идет</w:t>
      </w:r>
      <w:r>
        <w:t xml:space="preserve"> обращение к табличной форме Банковская гарантия.</w:t>
      </w:r>
    </w:p>
    <w:p w:rsidR="003725C6" w:rsidRDefault="003725C6" w:rsidP="003725C6">
      <w:pPr>
        <w:pStyle w:val="ad"/>
        <w:ind w:firstLine="357"/>
      </w:pPr>
      <w:r>
        <w:t>Табличная форма (ТФ) содерж</w:t>
      </w:r>
      <w:r w:rsidR="00872E3C">
        <w:t>ит</w:t>
      </w:r>
      <w:r>
        <w:t xml:space="preserve"> следующие колонки</w:t>
      </w:r>
      <w:r w:rsidR="005926DC">
        <w:t xml:space="preserve"> (см. Рис.2.1)</w:t>
      </w:r>
      <w:r>
        <w:t>:</w:t>
      </w:r>
    </w:p>
    <w:p w:rsidR="003725C6" w:rsidRDefault="003725C6" w:rsidP="003725C6">
      <w:pPr>
        <w:numPr>
          <w:ilvl w:val="0"/>
          <w:numId w:val="11"/>
        </w:numPr>
        <w:spacing w:before="100" w:beforeAutospacing="1" w:after="150"/>
        <w:jc w:val="both"/>
      </w:pPr>
      <w:r w:rsidRPr="00284135">
        <w:t xml:space="preserve">Код и наименование </w:t>
      </w:r>
      <w:r w:rsidR="004A7F63">
        <w:t>БГ (кратко), наименование</w:t>
      </w:r>
      <w:r>
        <w:t>, например, «</w:t>
      </w:r>
      <w:r w:rsidRPr="00284135">
        <w:t>БГ № МСБ/ЭГ/18-174880 от 18.10.18_5809124,14</w:t>
      </w:r>
      <w:r>
        <w:t>»;</w:t>
      </w:r>
    </w:p>
    <w:p w:rsidR="003725C6" w:rsidRDefault="003725C6" w:rsidP="003725C6">
      <w:pPr>
        <w:numPr>
          <w:ilvl w:val="0"/>
          <w:numId w:val="11"/>
        </w:numPr>
        <w:spacing w:before="100" w:beforeAutospacing="1" w:after="150"/>
        <w:jc w:val="both"/>
      </w:pPr>
      <w:r>
        <w:t>Вид БГ, обращение к справочнику.</w:t>
      </w:r>
      <w:r w:rsidR="00872E3C">
        <w:t xml:space="preserve"> Этот справочник уже заполнен</w:t>
      </w:r>
      <w:r w:rsidR="007C0F0E">
        <w:t>, пре</w:t>
      </w:r>
      <w:r w:rsidR="004A7F63">
        <w:t>д</w:t>
      </w:r>
      <w:r w:rsidR="007C0F0E">
        <w:t>полагается выбор из существующих значений</w:t>
      </w:r>
      <w:r>
        <w:t>;</w:t>
      </w:r>
    </w:p>
    <w:p w:rsidR="003725C6" w:rsidRPr="00284135" w:rsidRDefault="003725C6" w:rsidP="003725C6">
      <w:pPr>
        <w:numPr>
          <w:ilvl w:val="0"/>
          <w:numId w:val="11"/>
        </w:numPr>
        <w:spacing w:before="100" w:beforeAutospacing="1" w:after="150"/>
        <w:jc w:val="both"/>
      </w:pPr>
      <w:r>
        <w:t>Дата выдачи, дата;</w:t>
      </w:r>
    </w:p>
    <w:p w:rsidR="003725C6" w:rsidRPr="00A00C66" w:rsidRDefault="003725C6" w:rsidP="003725C6">
      <w:pPr>
        <w:numPr>
          <w:ilvl w:val="0"/>
          <w:numId w:val="11"/>
        </w:numPr>
        <w:spacing w:before="100" w:beforeAutospacing="1" w:after="150"/>
        <w:jc w:val="both"/>
        <w:rPr>
          <w:u w:val="single"/>
        </w:rPr>
      </w:pPr>
      <w:r w:rsidRPr="008E1C56">
        <w:t>реквизиты организации</w:t>
      </w:r>
      <w:r>
        <w:t xml:space="preserve"> (Принципал)</w:t>
      </w:r>
      <w:r w:rsidRPr="008E1C56">
        <w:t xml:space="preserve">, </w:t>
      </w:r>
      <w:r>
        <w:t>код и название. Заполняется автоматически по значению в Конфигурации, допустима корректировка, контроль на заполнение по справочнику Внешние партнеры (строгий контроль);</w:t>
      </w:r>
    </w:p>
    <w:p w:rsidR="003725C6" w:rsidRDefault="003725C6" w:rsidP="003725C6">
      <w:pPr>
        <w:numPr>
          <w:ilvl w:val="0"/>
          <w:numId w:val="11"/>
        </w:numPr>
        <w:spacing w:before="100" w:beforeAutospacing="1" w:after="150"/>
        <w:jc w:val="both"/>
      </w:pPr>
      <w:r>
        <w:t>Реквизиты организации – контрагента, код и название (Партнер - Гарант), допустима корректировка,</w:t>
      </w:r>
      <w:r w:rsidR="004A7F63">
        <w:t xml:space="preserve"> выбор и</w:t>
      </w:r>
      <w:r>
        <w:t xml:space="preserve"> контроль на заполнение по справочнику Внешние партнеры (строгий контроль);</w:t>
      </w:r>
    </w:p>
    <w:p w:rsidR="003725C6" w:rsidRDefault="003725C6" w:rsidP="003725C6">
      <w:pPr>
        <w:numPr>
          <w:ilvl w:val="0"/>
          <w:numId w:val="11"/>
        </w:numPr>
        <w:spacing w:before="100" w:beforeAutospacing="1" w:after="150"/>
        <w:jc w:val="both"/>
      </w:pPr>
      <w:r>
        <w:t xml:space="preserve">Реквизиты организации – контрагента, код и название (Партнер - Бенефициар), допустима корректировка, </w:t>
      </w:r>
      <w:r w:rsidR="004A7F63">
        <w:t xml:space="preserve">выбор и </w:t>
      </w:r>
      <w:r>
        <w:t>контроль на заполнение по справочнику Внеш</w:t>
      </w:r>
      <w:r w:rsidR="004A7F63">
        <w:t>ние партнеры (строгий контроль)</w:t>
      </w:r>
      <w:r>
        <w:t>;</w:t>
      </w:r>
    </w:p>
    <w:p w:rsidR="003725C6" w:rsidRDefault="003725C6" w:rsidP="003725C6">
      <w:pPr>
        <w:numPr>
          <w:ilvl w:val="0"/>
          <w:numId w:val="11"/>
        </w:numPr>
        <w:spacing w:before="100" w:beforeAutospacing="1" w:after="150"/>
        <w:jc w:val="both"/>
      </w:pPr>
      <w:r>
        <w:t>Договор Принципала с Гарантом, тип, номер, дата. Заполнение не обязательно;</w:t>
      </w:r>
    </w:p>
    <w:p w:rsidR="003725C6" w:rsidRDefault="003725C6" w:rsidP="003725C6">
      <w:pPr>
        <w:numPr>
          <w:ilvl w:val="0"/>
          <w:numId w:val="11"/>
        </w:numPr>
        <w:spacing w:before="100" w:beforeAutospacing="1" w:after="150"/>
        <w:jc w:val="both"/>
      </w:pPr>
      <w:r>
        <w:t>Договор Принципала с Бенефициаром, тип, номер, дата. Заполнение не обязательно;</w:t>
      </w:r>
    </w:p>
    <w:p w:rsidR="003725C6" w:rsidRDefault="003725C6" w:rsidP="003725C6">
      <w:pPr>
        <w:numPr>
          <w:ilvl w:val="0"/>
          <w:numId w:val="11"/>
        </w:numPr>
        <w:spacing w:before="100" w:beforeAutospacing="1" w:after="150"/>
      </w:pPr>
      <w:r>
        <w:t>Комментарий (текст, заполнение произвольно). Служебная информация, тема;</w:t>
      </w:r>
    </w:p>
    <w:p w:rsidR="002F2551" w:rsidRDefault="002F2551" w:rsidP="003725C6">
      <w:pPr>
        <w:numPr>
          <w:ilvl w:val="0"/>
          <w:numId w:val="11"/>
        </w:numPr>
        <w:spacing w:before="100" w:beforeAutospacing="1" w:after="150"/>
      </w:pPr>
      <w:r>
        <w:t>Аналитические характеристики (отдел, ШПЗ и т.д.).</w:t>
      </w:r>
      <w:r w:rsidR="004E782C">
        <w:t xml:space="preserve"> При заполнении возможно обращение к соответствующим справочникам или прямое заполнение с выдачей предупреждения, если значение отсутствует в справочнике.</w:t>
      </w:r>
    </w:p>
    <w:p w:rsidR="003725C6" w:rsidRDefault="005926DC" w:rsidP="005926DC">
      <w:pPr>
        <w:spacing w:before="100" w:beforeAutospacing="1" w:after="150"/>
        <w:ind w:left="360"/>
        <w:jc w:val="both"/>
      </w:pPr>
      <w:r>
        <w:rPr>
          <w:noProof/>
        </w:rPr>
        <w:drawing>
          <wp:inline distT="0" distB="0" distL="0" distR="0">
            <wp:extent cx="5940425" cy="1638300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6DC" w:rsidRPr="005926DC" w:rsidRDefault="005926DC" w:rsidP="005926DC">
      <w:pPr>
        <w:spacing w:before="100" w:beforeAutospacing="1" w:after="150"/>
        <w:ind w:left="360"/>
        <w:jc w:val="both"/>
      </w:pPr>
      <w:r>
        <w:tab/>
      </w:r>
      <w:r>
        <w:tab/>
      </w:r>
      <w:r>
        <w:tab/>
        <w:t>Рис.2.1</w:t>
      </w:r>
    </w:p>
    <w:p w:rsidR="003725C6" w:rsidRPr="00D97B13" w:rsidRDefault="003725C6" w:rsidP="00D97B13">
      <w:pPr>
        <w:spacing w:before="100" w:beforeAutospacing="1" w:after="150"/>
        <w:ind w:firstLine="708"/>
        <w:jc w:val="both"/>
      </w:pPr>
      <w:r w:rsidRPr="00D97B13">
        <w:lastRenderedPageBreak/>
        <w:t xml:space="preserve">В ТФ обеспечено добавление БГ (кнопка Добавить, затем формирование ЭФ). При добавлении соответствующие реквизиты заполняются автоматически, номер (код) наращивается, дата текущая. </w:t>
      </w:r>
    </w:p>
    <w:p w:rsidR="003725C6" w:rsidRPr="00D97B13" w:rsidRDefault="003725C6" w:rsidP="00D97B13">
      <w:pPr>
        <w:spacing w:before="100" w:beforeAutospacing="1" w:after="150"/>
        <w:ind w:firstLine="708"/>
        <w:jc w:val="both"/>
      </w:pPr>
      <w:r w:rsidRPr="00D97B13">
        <w:t>Стандартные функциональные кнопки (кроме кнопки подсчета итогов, что в данном случае не используется) присутств</w:t>
      </w:r>
      <w:r w:rsidR="00D97B13">
        <w:t>уют</w:t>
      </w:r>
      <w:r w:rsidRPr="00D97B13">
        <w:t xml:space="preserve"> на ТФ. Фильтр, поиск по </w:t>
      </w:r>
      <w:r w:rsidR="00D97B13">
        <w:t>всем колонкам, с</w:t>
      </w:r>
      <w:r w:rsidRPr="00D97B13">
        <w:t xml:space="preserve">ортировка по датам (умолчание – по убыванию даты выдачи). </w:t>
      </w:r>
    </w:p>
    <w:p w:rsidR="003725C6" w:rsidRPr="007152C2" w:rsidRDefault="003725C6" w:rsidP="007152C2">
      <w:pPr>
        <w:pStyle w:val="2"/>
        <w:numPr>
          <w:ilvl w:val="1"/>
          <w:numId w:val="7"/>
        </w:numPr>
      </w:pPr>
      <w:r w:rsidRPr="007152C2">
        <w:t xml:space="preserve"> </w:t>
      </w:r>
      <w:bookmarkStart w:id="3" w:name="_Toc192844803"/>
      <w:r w:rsidRPr="007152C2">
        <w:t>Экранная форма (карточка)</w:t>
      </w:r>
      <w:bookmarkEnd w:id="3"/>
    </w:p>
    <w:p w:rsidR="003725C6" w:rsidRDefault="00875667" w:rsidP="003725C6">
      <w:pPr>
        <w:pStyle w:val="af0"/>
        <w:spacing w:before="100" w:beforeAutospacing="1"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Удобнее и нагляднее ввод информации осуществлять на экранной форме (ЭФ). </w:t>
      </w:r>
      <w:r w:rsidR="003725C6">
        <w:rPr>
          <w:rFonts w:ascii="Times New Roman" w:hAnsi="Times New Roman" w:cs="Times New Roman"/>
        </w:rPr>
        <w:t>На экранной форме карточки</w:t>
      </w:r>
      <w:r>
        <w:rPr>
          <w:rFonts w:ascii="Times New Roman" w:hAnsi="Times New Roman" w:cs="Times New Roman"/>
        </w:rPr>
        <w:t xml:space="preserve"> </w:t>
      </w:r>
      <w:r w:rsidR="003725C6">
        <w:rPr>
          <w:rFonts w:ascii="Times New Roman" w:hAnsi="Times New Roman" w:cs="Times New Roman"/>
        </w:rPr>
        <w:t>представлены несколько фрагментов (закладок)</w:t>
      </w:r>
      <w:r w:rsidR="00D66AAF">
        <w:rPr>
          <w:rFonts w:ascii="Times New Roman" w:hAnsi="Times New Roman" w:cs="Times New Roman"/>
        </w:rPr>
        <w:t>, см. Рис. 2.2</w:t>
      </w:r>
      <w:r w:rsidR="0016088C">
        <w:rPr>
          <w:rFonts w:ascii="Times New Roman" w:hAnsi="Times New Roman" w:cs="Times New Roman"/>
        </w:rPr>
        <w:t>.1.</w:t>
      </w:r>
    </w:p>
    <w:p w:rsidR="003725C6" w:rsidRDefault="003725C6" w:rsidP="003725C6">
      <w:pPr>
        <w:pStyle w:val="af0"/>
        <w:spacing w:before="100" w:beforeAutospacing="1" w:after="150"/>
        <w:jc w:val="both"/>
        <w:rPr>
          <w:rFonts w:ascii="Times New Roman" w:hAnsi="Times New Roman" w:cs="Times New Roman"/>
        </w:rPr>
      </w:pPr>
    </w:p>
    <w:p w:rsidR="003725C6" w:rsidRPr="00D33345" w:rsidRDefault="003725C6" w:rsidP="003725C6">
      <w:pPr>
        <w:pStyle w:val="af0"/>
        <w:spacing w:before="100" w:beforeAutospacing="1" w:after="150"/>
        <w:jc w:val="both"/>
        <w:rPr>
          <w:rFonts w:ascii="Times New Roman" w:hAnsi="Times New Roman" w:cs="Times New Roman"/>
          <w:b/>
        </w:rPr>
      </w:pPr>
      <w:r w:rsidRPr="00D33345">
        <w:rPr>
          <w:rFonts w:ascii="Times New Roman" w:hAnsi="Times New Roman" w:cs="Times New Roman"/>
          <w:b/>
        </w:rPr>
        <w:t xml:space="preserve">Фрагмент Общие реквизиты </w:t>
      </w:r>
      <w:r>
        <w:rPr>
          <w:rFonts w:ascii="Times New Roman" w:hAnsi="Times New Roman" w:cs="Times New Roman"/>
          <w:b/>
        </w:rPr>
        <w:t>(шапка)</w:t>
      </w:r>
    </w:p>
    <w:p w:rsidR="003725C6" w:rsidRDefault="003725C6" w:rsidP="003725C6">
      <w:pPr>
        <w:pStyle w:val="af0"/>
        <w:spacing w:before="100" w:beforeAutospacing="1" w:after="150"/>
        <w:ind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Повторяет колонки ТФ. Д</w:t>
      </w:r>
      <w:r w:rsidR="00BA53FF">
        <w:rPr>
          <w:rFonts w:ascii="Times New Roman" w:hAnsi="Times New Roman" w:cs="Times New Roman"/>
        </w:rPr>
        <w:t>ополнительно введите</w:t>
      </w:r>
      <w:r>
        <w:rPr>
          <w:rFonts w:ascii="Times New Roman" w:hAnsi="Times New Roman" w:cs="Times New Roman"/>
        </w:rPr>
        <w:t>:</w:t>
      </w:r>
    </w:p>
    <w:p w:rsidR="003725C6" w:rsidRDefault="003725C6" w:rsidP="003725C6">
      <w:pPr>
        <w:pStyle w:val="af0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45">
        <w:rPr>
          <w:rFonts w:ascii="Times New Roman" w:hAnsi="Times New Roman" w:cs="Times New Roman"/>
          <w:sz w:val="24"/>
          <w:szCs w:val="24"/>
        </w:rPr>
        <w:t>Сумма гарантии</w:t>
      </w:r>
      <w:r>
        <w:rPr>
          <w:rFonts w:ascii="Times New Roman" w:hAnsi="Times New Roman" w:cs="Times New Roman"/>
          <w:sz w:val="24"/>
          <w:szCs w:val="24"/>
        </w:rPr>
        <w:t xml:space="preserve"> (руб.)</w:t>
      </w:r>
      <w:r w:rsidRPr="001C3E45">
        <w:rPr>
          <w:rFonts w:ascii="Times New Roman" w:hAnsi="Times New Roman" w:cs="Times New Roman"/>
          <w:sz w:val="24"/>
          <w:szCs w:val="24"/>
        </w:rPr>
        <w:t>, процент (целый), сумма вознаграждения</w:t>
      </w:r>
      <w:r>
        <w:rPr>
          <w:rFonts w:ascii="Times New Roman" w:hAnsi="Times New Roman" w:cs="Times New Roman"/>
          <w:sz w:val="24"/>
          <w:szCs w:val="24"/>
        </w:rPr>
        <w:t xml:space="preserve"> (руб.). Сумма гарантии и процент не обязательны к заполнению. Если заполнены, сумма вознаграждения вычисляется (округляется до коп.). Сумма вознаграждения к заполнению обязательна</w:t>
      </w:r>
      <w:r w:rsidRPr="001C3E45">
        <w:rPr>
          <w:rFonts w:ascii="Times New Roman" w:hAnsi="Times New Roman" w:cs="Times New Roman"/>
          <w:sz w:val="24"/>
          <w:szCs w:val="24"/>
        </w:rPr>
        <w:t>;</w:t>
      </w:r>
    </w:p>
    <w:p w:rsidR="003725C6" w:rsidRDefault="003725C6" w:rsidP="003725C6">
      <w:pPr>
        <w:pStyle w:val="af0"/>
        <w:numPr>
          <w:ilvl w:val="0"/>
          <w:numId w:val="12"/>
        </w:numPr>
        <w:spacing w:before="100" w:beforeAutospacing="1"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валюты, курс валюты (к заполнению не обязательно). Код валюты выбирается из справочника Коды валют, курс заполняется автоматически по имеющимся данным (текущая дата, ближайшая хронологически).</w:t>
      </w:r>
    </w:p>
    <w:p w:rsidR="003725C6" w:rsidRDefault="003725C6" w:rsidP="003725C6">
      <w:pPr>
        <w:pStyle w:val="af0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45">
        <w:rPr>
          <w:rFonts w:ascii="Times New Roman" w:hAnsi="Times New Roman" w:cs="Times New Roman"/>
          <w:sz w:val="24"/>
          <w:szCs w:val="24"/>
        </w:rPr>
        <w:t>Сумма гарантии</w:t>
      </w:r>
      <w:r>
        <w:rPr>
          <w:rFonts w:ascii="Times New Roman" w:hAnsi="Times New Roman" w:cs="Times New Roman"/>
          <w:sz w:val="24"/>
          <w:szCs w:val="24"/>
        </w:rPr>
        <w:t xml:space="preserve"> (вал)</w:t>
      </w:r>
      <w:r w:rsidRPr="001C3E45">
        <w:rPr>
          <w:rFonts w:ascii="Times New Roman" w:hAnsi="Times New Roman" w:cs="Times New Roman"/>
          <w:sz w:val="24"/>
          <w:szCs w:val="24"/>
        </w:rPr>
        <w:t>, сумма вознаграждения</w:t>
      </w:r>
      <w:r>
        <w:rPr>
          <w:rFonts w:ascii="Times New Roman" w:hAnsi="Times New Roman" w:cs="Times New Roman"/>
          <w:sz w:val="24"/>
          <w:szCs w:val="24"/>
        </w:rPr>
        <w:t xml:space="preserve"> (вал.). Сумма гарантии не обязательна к заполнению. Если заполнена, сумма вознаграждения вычисляется (процент – см. выше). Сумма вознаграждения (вал) к заполнению не обязательна</w:t>
      </w:r>
      <w:r w:rsidRPr="001C3E45">
        <w:rPr>
          <w:rFonts w:ascii="Times New Roman" w:hAnsi="Times New Roman" w:cs="Times New Roman"/>
          <w:sz w:val="24"/>
          <w:szCs w:val="24"/>
        </w:rPr>
        <w:t>;</w:t>
      </w:r>
    </w:p>
    <w:p w:rsidR="003725C6" w:rsidRPr="001C3E45" w:rsidRDefault="003725C6" w:rsidP="003725C6">
      <w:pPr>
        <w:pStyle w:val="af0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45">
        <w:rPr>
          <w:rFonts w:ascii="Times New Roman" w:hAnsi="Times New Roman" w:cs="Times New Roman"/>
          <w:sz w:val="24"/>
          <w:szCs w:val="24"/>
        </w:rPr>
        <w:t>срок действия гарантии</w:t>
      </w:r>
      <w:r>
        <w:rPr>
          <w:rFonts w:ascii="Times New Roman" w:hAnsi="Times New Roman" w:cs="Times New Roman"/>
          <w:sz w:val="24"/>
          <w:szCs w:val="24"/>
        </w:rPr>
        <w:t>, с (дата) по (дата)</w:t>
      </w:r>
      <w:r w:rsidRPr="001C3E45">
        <w:rPr>
          <w:rFonts w:ascii="Times New Roman" w:hAnsi="Times New Roman" w:cs="Times New Roman"/>
          <w:sz w:val="24"/>
          <w:szCs w:val="24"/>
        </w:rPr>
        <w:t>;</w:t>
      </w:r>
    </w:p>
    <w:p w:rsidR="003725C6" w:rsidRDefault="003725C6" w:rsidP="003725C6">
      <w:pPr>
        <w:pStyle w:val="af0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45">
        <w:rPr>
          <w:rFonts w:ascii="Times New Roman" w:hAnsi="Times New Roman" w:cs="Times New Roman"/>
          <w:sz w:val="24"/>
          <w:szCs w:val="24"/>
        </w:rPr>
        <w:t>Дата погашения задолженности, прекращения обязательств (факт)</w:t>
      </w:r>
      <w:r>
        <w:rPr>
          <w:rFonts w:ascii="Times New Roman" w:hAnsi="Times New Roman" w:cs="Times New Roman"/>
          <w:sz w:val="24"/>
          <w:szCs w:val="24"/>
        </w:rPr>
        <w:t>, дата;</w:t>
      </w:r>
    </w:p>
    <w:p w:rsidR="003725C6" w:rsidRDefault="003725C6" w:rsidP="003725C6">
      <w:pPr>
        <w:pStyle w:val="af0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Карточка РБП (да/нет). При значении «да» наличие карточки обязательно – </w:t>
      </w:r>
      <w:r w:rsidR="00BA53FF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>
        <w:rPr>
          <w:rFonts w:ascii="Times New Roman" w:hAnsi="Times New Roman" w:cs="Times New Roman"/>
          <w:sz w:val="24"/>
          <w:szCs w:val="24"/>
        </w:rPr>
        <w:t>контроль с выводом сообщения об отсутствии и предложением заполнить. Карточка одна, уникальна (строгий контроль). По умолчанию «нет»;</w:t>
      </w:r>
    </w:p>
    <w:p w:rsidR="003725C6" w:rsidRDefault="003725C6" w:rsidP="003725C6">
      <w:pPr>
        <w:pStyle w:val="af0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расходов РБП, обязателен к заполнению при «да» в поле Карточка РБП. Обращение к справочнику Вид расходов РБП;</w:t>
      </w:r>
    </w:p>
    <w:p w:rsidR="003725C6" w:rsidRPr="00D66AAF" w:rsidRDefault="003725C6" w:rsidP="00D66AAF">
      <w:pPr>
        <w:pStyle w:val="af0"/>
        <w:numPr>
          <w:ilvl w:val="0"/>
          <w:numId w:val="12"/>
        </w:numPr>
        <w:spacing w:before="100" w:beforeAutospacing="1" w:after="150"/>
        <w:jc w:val="both"/>
        <w:rPr>
          <w:rFonts w:ascii="Times New Roman" w:hAnsi="Times New Roman" w:cs="Times New Roman"/>
        </w:rPr>
      </w:pPr>
      <w:r w:rsidRPr="001730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аналитические реквизиты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7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отдел, табельный номер ответственного, ШПЗ, Статья затрат.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Заполнение </w:t>
      </w:r>
      <w:r w:rsidR="00BA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оператором путем обращения к соответствующим справочникам.</w:t>
      </w:r>
    </w:p>
    <w:p w:rsidR="00D66AAF" w:rsidRDefault="00D66AAF" w:rsidP="00D66AAF">
      <w:pPr>
        <w:spacing w:before="100" w:beforeAutospacing="1" w:after="150"/>
        <w:jc w:val="both"/>
      </w:pPr>
      <w:r>
        <w:rPr>
          <w:noProof/>
        </w:rPr>
        <w:lastRenderedPageBreak/>
        <w:drawing>
          <wp:inline distT="0" distB="0" distL="0" distR="0">
            <wp:extent cx="5940425" cy="3152775"/>
            <wp:effectExtent l="0" t="0" r="317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AAF" w:rsidRDefault="00D66AAF" w:rsidP="00D66AAF">
      <w:pPr>
        <w:spacing w:before="100" w:beforeAutospacing="1" w:after="150"/>
        <w:jc w:val="both"/>
      </w:pPr>
      <w:r>
        <w:tab/>
      </w:r>
      <w:r>
        <w:tab/>
      </w:r>
      <w:r>
        <w:tab/>
        <w:t>Рис.2.2</w:t>
      </w:r>
      <w:r w:rsidR="0016088C">
        <w:t>.1</w:t>
      </w:r>
    </w:p>
    <w:p w:rsidR="00D66AAF" w:rsidRPr="00D66AAF" w:rsidRDefault="00D66AAF" w:rsidP="00D66AAF">
      <w:pPr>
        <w:spacing w:before="100" w:beforeAutospacing="1" w:after="150"/>
        <w:jc w:val="both"/>
      </w:pPr>
    </w:p>
    <w:p w:rsidR="003725C6" w:rsidRDefault="003725C6" w:rsidP="003725C6">
      <w:pPr>
        <w:pStyle w:val="af0"/>
        <w:spacing w:before="100" w:beforeAutospacing="1" w:after="150"/>
        <w:jc w:val="both"/>
        <w:rPr>
          <w:rFonts w:ascii="Times New Roman" w:hAnsi="Times New Roman" w:cs="Times New Roman"/>
          <w:b/>
        </w:rPr>
      </w:pPr>
      <w:r w:rsidRPr="002D1F94">
        <w:rPr>
          <w:rFonts w:ascii="Times New Roman" w:hAnsi="Times New Roman" w:cs="Times New Roman"/>
          <w:b/>
        </w:rPr>
        <w:t xml:space="preserve">Фрагмент </w:t>
      </w:r>
      <w:r>
        <w:rPr>
          <w:rFonts w:ascii="Times New Roman" w:hAnsi="Times New Roman" w:cs="Times New Roman"/>
          <w:b/>
        </w:rPr>
        <w:t>Карточка РБП</w:t>
      </w:r>
    </w:p>
    <w:p w:rsidR="0016088C" w:rsidRDefault="0016088C" w:rsidP="0016088C">
      <w:pPr>
        <w:pStyle w:val="af0"/>
        <w:spacing w:before="100" w:beforeAutospacing="1" w:after="15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нажатии на кнопку Карточка РБП вы можете:</w:t>
      </w:r>
    </w:p>
    <w:p w:rsidR="0016088C" w:rsidRDefault="0016088C" w:rsidP="0016088C">
      <w:pPr>
        <w:pStyle w:val="af0"/>
        <w:numPr>
          <w:ilvl w:val="0"/>
          <w:numId w:val="20"/>
        </w:numPr>
        <w:spacing w:before="100" w:beforeAutospacing="1"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создать новую карточку РБП;</w:t>
      </w:r>
    </w:p>
    <w:p w:rsidR="0016088C" w:rsidRDefault="0016088C" w:rsidP="0016088C">
      <w:pPr>
        <w:pStyle w:val="af0"/>
        <w:numPr>
          <w:ilvl w:val="0"/>
          <w:numId w:val="20"/>
        </w:numPr>
        <w:spacing w:before="100" w:beforeAutospacing="1"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выбрать уже существующую (ранее введенную карточку) и подключить ее к БГ; </w:t>
      </w:r>
    </w:p>
    <w:p w:rsidR="0016088C" w:rsidRDefault="0016088C" w:rsidP="0016088C">
      <w:pPr>
        <w:pStyle w:val="af0"/>
        <w:numPr>
          <w:ilvl w:val="0"/>
          <w:numId w:val="20"/>
        </w:numPr>
        <w:spacing w:before="100" w:beforeAutospacing="1"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просмотреть данные ранее подключенной карточки РБП</w:t>
      </w:r>
      <w:r w:rsidR="004B72FF">
        <w:rPr>
          <w:rFonts w:ascii="Times New Roman" w:hAnsi="Times New Roman" w:cs="Times New Roman"/>
        </w:rPr>
        <w:t xml:space="preserve"> (карточка открывается на полнофункциональный просмотр)</w:t>
      </w:r>
      <w:r>
        <w:rPr>
          <w:rFonts w:ascii="Times New Roman" w:hAnsi="Times New Roman" w:cs="Times New Roman"/>
        </w:rPr>
        <w:t>.</w:t>
      </w:r>
    </w:p>
    <w:p w:rsidR="0016088C" w:rsidRDefault="0016088C" w:rsidP="003725C6">
      <w:pPr>
        <w:pStyle w:val="af0"/>
        <w:spacing w:before="100" w:beforeAutospacing="1" w:after="150"/>
        <w:jc w:val="both"/>
        <w:rPr>
          <w:rFonts w:ascii="Times New Roman" w:hAnsi="Times New Roman" w:cs="Times New Roman"/>
        </w:rPr>
      </w:pPr>
    </w:p>
    <w:p w:rsidR="003725C6" w:rsidRPr="007B78A3" w:rsidRDefault="003725C6" w:rsidP="0016088C">
      <w:pPr>
        <w:pStyle w:val="af0"/>
        <w:spacing w:before="100" w:beforeAutospacing="1" w:after="15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0A">
        <w:rPr>
          <w:rFonts w:ascii="Times New Roman" w:hAnsi="Times New Roman" w:cs="Times New Roman"/>
        </w:rPr>
        <w:t xml:space="preserve">На этом </w:t>
      </w:r>
      <w:r>
        <w:rPr>
          <w:rFonts w:ascii="Times New Roman" w:hAnsi="Times New Roman" w:cs="Times New Roman"/>
        </w:rPr>
        <w:t>фрагменте визуализир</w:t>
      </w:r>
      <w:r w:rsidR="0016088C">
        <w:rPr>
          <w:rFonts w:ascii="Times New Roman" w:hAnsi="Times New Roman" w:cs="Times New Roman"/>
        </w:rPr>
        <w:t>уется</w:t>
      </w:r>
      <w:r>
        <w:rPr>
          <w:rFonts w:ascii="Times New Roman" w:hAnsi="Times New Roman" w:cs="Times New Roman"/>
        </w:rPr>
        <w:t xml:space="preserve"> Карточка РБП (функционал </w:t>
      </w:r>
      <w:r w:rsidR="0016088C">
        <w:rPr>
          <w:rFonts w:ascii="Times New Roman" w:hAnsi="Times New Roman" w:cs="Times New Roman"/>
        </w:rPr>
        <w:t xml:space="preserve">в полном объеме </w:t>
      </w:r>
      <w:r>
        <w:rPr>
          <w:rFonts w:ascii="Times New Roman" w:hAnsi="Times New Roman" w:cs="Times New Roman"/>
        </w:rPr>
        <w:t xml:space="preserve">разработан ранее). </w:t>
      </w:r>
      <w:r w:rsidRPr="007B7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Внешний вид Карточки РБП представлен на Рис. </w:t>
      </w:r>
      <w:r w:rsidR="0016088C" w:rsidRPr="007B78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B78A3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16088C" w:rsidRPr="007B78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B7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25C6" w:rsidRDefault="003725C6" w:rsidP="003725C6">
      <w:pPr>
        <w:spacing w:before="100" w:beforeAutospacing="1" w:after="150"/>
        <w:ind w:firstLine="708"/>
      </w:pPr>
      <w:r>
        <w:rPr>
          <w:noProof/>
        </w:rPr>
        <w:lastRenderedPageBreak/>
        <w:drawing>
          <wp:inline distT="0" distB="0" distL="0" distR="0">
            <wp:extent cx="5045075" cy="3076575"/>
            <wp:effectExtent l="0" t="0" r="317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50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5C6" w:rsidRDefault="003725C6" w:rsidP="003725C6">
      <w:pPr>
        <w:spacing w:before="100" w:beforeAutospacing="1" w:after="150"/>
        <w:ind w:firstLine="708"/>
      </w:pPr>
      <w:r>
        <w:tab/>
      </w:r>
      <w:r>
        <w:tab/>
        <w:t xml:space="preserve">Рис. </w:t>
      </w:r>
      <w:r w:rsidR="0016088C">
        <w:t>2.</w:t>
      </w:r>
      <w:r>
        <w:t>2.</w:t>
      </w:r>
      <w:r w:rsidR="0016088C">
        <w:t>2</w:t>
      </w:r>
    </w:p>
    <w:p w:rsidR="003725C6" w:rsidRDefault="003725C6" w:rsidP="003725C6">
      <w:pPr>
        <w:spacing w:before="100" w:beforeAutospacing="1" w:after="150"/>
        <w:ind w:firstLine="708"/>
        <w:rPr>
          <w:b/>
        </w:rPr>
      </w:pPr>
      <w:r w:rsidRPr="002E0F08">
        <w:rPr>
          <w:b/>
        </w:rPr>
        <w:t xml:space="preserve">Особенности заполнения фрагмента </w:t>
      </w:r>
      <w:r>
        <w:rPr>
          <w:b/>
        </w:rPr>
        <w:t>Карточка РБП</w:t>
      </w:r>
    </w:p>
    <w:p w:rsidR="003725C6" w:rsidRDefault="003725C6" w:rsidP="003725C6">
      <w:pPr>
        <w:spacing w:before="100" w:beforeAutospacing="1" w:after="150"/>
        <w:jc w:val="both"/>
      </w:pPr>
      <w:r w:rsidRPr="00A00A42">
        <w:tab/>
        <w:t xml:space="preserve">Общие </w:t>
      </w:r>
      <w:r>
        <w:t xml:space="preserve">реквизиты БГ и Карточки РБП </w:t>
      </w:r>
      <w:r w:rsidR="0016088C">
        <w:t>при вводе новой карточки заполняют</w:t>
      </w:r>
      <w:r>
        <w:t>ся автоматически, а именно:</w:t>
      </w:r>
    </w:p>
    <w:p w:rsidR="003725C6" w:rsidRDefault="003725C6" w:rsidP="003725C6">
      <w:pPr>
        <w:numPr>
          <w:ilvl w:val="0"/>
          <w:numId w:val="11"/>
        </w:numPr>
        <w:spacing w:before="100" w:beforeAutospacing="1" w:after="150"/>
        <w:jc w:val="both"/>
      </w:pPr>
      <w:r w:rsidRPr="00284135">
        <w:t xml:space="preserve">Код и наименование </w:t>
      </w:r>
      <w:r>
        <w:t>БГ (кратко), наименование, например, «</w:t>
      </w:r>
      <w:r w:rsidRPr="00284135">
        <w:t>БГ № МСБ/ЭГ/18-174880 от 18.10.18_5809124,14</w:t>
      </w:r>
      <w:r>
        <w:t>»;</w:t>
      </w:r>
    </w:p>
    <w:p w:rsidR="003725C6" w:rsidRDefault="003725C6" w:rsidP="003725C6">
      <w:pPr>
        <w:numPr>
          <w:ilvl w:val="0"/>
          <w:numId w:val="11"/>
        </w:numPr>
        <w:spacing w:before="100" w:beforeAutospacing="1" w:after="150"/>
        <w:jc w:val="both"/>
      </w:pPr>
      <w:r>
        <w:t>Вид расходов РБП (и расшифровка);</w:t>
      </w:r>
    </w:p>
    <w:p w:rsidR="003725C6" w:rsidRDefault="003725C6" w:rsidP="003725C6">
      <w:pPr>
        <w:numPr>
          <w:ilvl w:val="0"/>
          <w:numId w:val="11"/>
        </w:numPr>
        <w:spacing w:before="100" w:beforeAutospacing="1" w:after="150"/>
        <w:jc w:val="both"/>
      </w:pPr>
      <w:r>
        <w:t xml:space="preserve">Дата возникновения </w:t>
      </w:r>
      <w:r w:rsidR="0016088C">
        <w:t>с</w:t>
      </w:r>
      <w:r>
        <w:t>оответств</w:t>
      </w:r>
      <w:r w:rsidR="0016088C">
        <w:t>ует</w:t>
      </w:r>
      <w:r>
        <w:t xml:space="preserve"> Дат</w:t>
      </w:r>
      <w:r w:rsidR="0016088C">
        <w:t>е</w:t>
      </w:r>
      <w:r>
        <w:t xml:space="preserve"> выдачи;</w:t>
      </w:r>
    </w:p>
    <w:p w:rsidR="003725C6" w:rsidRDefault="003725C6" w:rsidP="003725C6">
      <w:pPr>
        <w:numPr>
          <w:ilvl w:val="0"/>
          <w:numId w:val="11"/>
        </w:numPr>
        <w:spacing w:before="100" w:beforeAutospacing="1" w:after="150"/>
        <w:jc w:val="both"/>
      </w:pPr>
      <w:r>
        <w:t>Статья затрат</w:t>
      </w:r>
      <w:r w:rsidR="00D75C18">
        <w:t xml:space="preserve"> переносится</w:t>
      </w:r>
      <w:r>
        <w:t>;</w:t>
      </w:r>
    </w:p>
    <w:p w:rsidR="003725C6" w:rsidRDefault="003725C6" w:rsidP="003725C6">
      <w:pPr>
        <w:numPr>
          <w:ilvl w:val="0"/>
          <w:numId w:val="11"/>
        </w:numPr>
        <w:spacing w:before="100" w:beforeAutospacing="1" w:after="150"/>
        <w:jc w:val="both"/>
      </w:pPr>
      <w:r>
        <w:t>Шифр затрат;</w:t>
      </w:r>
    </w:p>
    <w:p w:rsidR="003725C6" w:rsidRDefault="003725C6" w:rsidP="003725C6">
      <w:pPr>
        <w:numPr>
          <w:ilvl w:val="0"/>
          <w:numId w:val="11"/>
        </w:numPr>
        <w:spacing w:before="100" w:beforeAutospacing="1" w:after="150"/>
        <w:jc w:val="both"/>
      </w:pPr>
      <w:r>
        <w:t>Дата начала и окончания списания</w:t>
      </w:r>
      <w:r w:rsidR="000D244A">
        <w:t xml:space="preserve"> с</w:t>
      </w:r>
      <w:r>
        <w:t>оответств</w:t>
      </w:r>
      <w:r w:rsidR="000D244A">
        <w:t>ует</w:t>
      </w:r>
      <w:r>
        <w:t xml:space="preserve"> </w:t>
      </w:r>
      <w:r w:rsidR="000D244A">
        <w:t>с</w:t>
      </w:r>
      <w:r w:rsidRPr="001C3E45">
        <w:t>рок</w:t>
      </w:r>
      <w:r w:rsidR="000D244A">
        <w:t>у</w:t>
      </w:r>
      <w:r w:rsidRPr="001C3E45">
        <w:t xml:space="preserve"> действия гарантии</w:t>
      </w:r>
      <w:r>
        <w:t>, с (дата) по (дата). Сроки списания в мес., в днях, а также суммы списания в день рассчитываются автоматически</w:t>
      </w:r>
      <w:r w:rsidR="000D244A">
        <w:t xml:space="preserve"> при актуализации (подтверждении) данных</w:t>
      </w:r>
      <w:r>
        <w:t>;</w:t>
      </w:r>
    </w:p>
    <w:p w:rsidR="003725C6" w:rsidRDefault="003725C6" w:rsidP="003725C6">
      <w:pPr>
        <w:numPr>
          <w:ilvl w:val="0"/>
          <w:numId w:val="11"/>
        </w:numPr>
        <w:spacing w:before="100" w:beforeAutospacing="1" w:after="150"/>
        <w:jc w:val="both"/>
      </w:pPr>
      <w:r>
        <w:t>Сумма списан</w:t>
      </w:r>
      <w:r w:rsidR="00F14B2C">
        <w:t>ия (руб.), Сумма списания (вал)</w:t>
      </w:r>
      <w:r>
        <w:t xml:space="preserve"> </w:t>
      </w:r>
      <w:r w:rsidR="00F14B2C">
        <w:t>с</w:t>
      </w:r>
      <w:r>
        <w:t>оответств</w:t>
      </w:r>
      <w:r w:rsidR="00F14B2C">
        <w:t>ует</w:t>
      </w:r>
      <w:r>
        <w:t xml:space="preserve"> С</w:t>
      </w:r>
      <w:r w:rsidRPr="001C3E45">
        <w:t>умм</w:t>
      </w:r>
      <w:r w:rsidR="00F14B2C">
        <w:t>е</w:t>
      </w:r>
      <w:r w:rsidRPr="001C3E45">
        <w:t xml:space="preserve"> вознаграждения</w:t>
      </w:r>
      <w:r>
        <w:t xml:space="preserve"> (руб.), С</w:t>
      </w:r>
      <w:r w:rsidRPr="001C3E45">
        <w:t>умма вознаграждения</w:t>
      </w:r>
      <w:r>
        <w:t xml:space="preserve"> (вал);</w:t>
      </w:r>
    </w:p>
    <w:p w:rsidR="003725C6" w:rsidRDefault="003725C6" w:rsidP="003725C6">
      <w:pPr>
        <w:numPr>
          <w:ilvl w:val="0"/>
          <w:numId w:val="11"/>
        </w:numPr>
        <w:spacing w:before="100" w:beforeAutospacing="1" w:after="150"/>
        <w:jc w:val="both"/>
      </w:pPr>
      <w:r>
        <w:t>Аналитические признаки заполняются</w:t>
      </w:r>
      <w:r w:rsidR="00F14B2C">
        <w:t xml:space="preserve"> автоматически</w:t>
      </w:r>
      <w:r>
        <w:t>: Партнер (Гарант, заполнение обязательно), Код отдела, Табельный номер (заполнение не обязательно, если заполнено в оригинале БГ)</w:t>
      </w:r>
    </w:p>
    <w:p w:rsidR="003725C6" w:rsidRPr="00A00A42" w:rsidRDefault="003725C6" w:rsidP="003725C6">
      <w:pPr>
        <w:spacing w:before="100" w:beforeAutospacing="1" w:after="150"/>
        <w:ind w:firstLine="360"/>
        <w:jc w:val="both"/>
      </w:pPr>
      <w:r>
        <w:t>Далее функциональность Карточки РБП соответств</w:t>
      </w:r>
      <w:r w:rsidR="00F14B2C">
        <w:t>ует стандартной,</w:t>
      </w:r>
      <w:r>
        <w:t xml:space="preserve"> оператор выполняет процесс обработки под собственным контролем по стандартной технологии (графики, ведомости списания и т.д.).</w:t>
      </w:r>
      <w:r w:rsidR="00C80FE0">
        <w:t xml:space="preserve"> К карточке БГ можно подключить только одну Карточку РБП.</w:t>
      </w:r>
    </w:p>
    <w:p w:rsidR="003725C6" w:rsidRDefault="003725C6" w:rsidP="003725C6">
      <w:pPr>
        <w:spacing w:before="100" w:beforeAutospacing="1" w:after="150"/>
        <w:rPr>
          <w:b/>
        </w:rPr>
      </w:pPr>
      <w:r>
        <w:rPr>
          <w:b/>
        </w:rPr>
        <w:lastRenderedPageBreak/>
        <w:t xml:space="preserve"> </w:t>
      </w:r>
      <w:r w:rsidRPr="00E43871">
        <w:rPr>
          <w:b/>
        </w:rPr>
        <w:t xml:space="preserve">Фрагмент </w:t>
      </w:r>
      <w:r>
        <w:rPr>
          <w:b/>
        </w:rPr>
        <w:t>Документооборот</w:t>
      </w:r>
    </w:p>
    <w:p w:rsidR="003725C6" w:rsidRDefault="003725C6" w:rsidP="00644FCF">
      <w:pPr>
        <w:spacing w:before="100" w:beforeAutospacing="1" w:after="150"/>
        <w:jc w:val="both"/>
      </w:pPr>
      <w:r w:rsidRPr="00B24A9A">
        <w:tab/>
      </w:r>
      <w:r w:rsidR="00644FCF">
        <w:t>Табличная форма предназначена для аккумуляции всех документов, сопровождающих процесс учета конкретной БГ. Здесь можно вводить новые документы (особенности – см. ниже), просматривать</w:t>
      </w:r>
      <w:r w:rsidR="002A1B90">
        <w:t xml:space="preserve"> документы,</w:t>
      </w:r>
      <w:r w:rsidR="00644FCF">
        <w:t xml:space="preserve"> введенные ранее. При этом возможность ведения и просмотра документов в каждом из соответствующих реестров сохраняется. Табличная форма </w:t>
      </w:r>
      <w:r>
        <w:t>содерж</w:t>
      </w:r>
      <w:r w:rsidR="00644FCF">
        <w:t>ит</w:t>
      </w:r>
      <w:r>
        <w:t xml:space="preserve"> следующие колонки:</w:t>
      </w:r>
    </w:p>
    <w:p w:rsidR="003725C6" w:rsidRPr="00B24A9A" w:rsidRDefault="003725C6" w:rsidP="003725C6">
      <w:pPr>
        <w:pStyle w:val="af0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</w:rPr>
      </w:pPr>
      <w:r w:rsidRPr="00B24A9A">
        <w:rPr>
          <w:rFonts w:ascii="Times New Roman" w:hAnsi="Times New Roman" w:cs="Times New Roman"/>
        </w:rPr>
        <w:t xml:space="preserve">Вид документа </w:t>
      </w:r>
      <w:r>
        <w:rPr>
          <w:rFonts w:ascii="Times New Roman" w:hAnsi="Times New Roman" w:cs="Times New Roman"/>
        </w:rPr>
        <w:t xml:space="preserve">(или отношение к учету БГ) </w:t>
      </w:r>
      <w:r w:rsidRPr="00B24A9A">
        <w:rPr>
          <w:rFonts w:ascii="Times New Roman" w:hAnsi="Times New Roman" w:cs="Times New Roman"/>
        </w:rPr>
        <w:t xml:space="preserve">– уплата банку, учет вознаграждения банку, принятие к учету товаров (работ, услуг), оплата задолженности, досрочное прекращение, договор, прочие. </w:t>
      </w:r>
      <w:r w:rsidRPr="00B24A9A">
        <w:rPr>
          <w:rFonts w:ascii="Times New Roman" w:hAnsi="Times New Roman" w:cs="Times New Roman"/>
          <w:b/>
        </w:rPr>
        <w:t>Список допустимых значений</w:t>
      </w:r>
      <w:r w:rsidR="002A1B90">
        <w:rPr>
          <w:rFonts w:ascii="Times New Roman" w:hAnsi="Times New Roman" w:cs="Times New Roman"/>
          <w:b/>
        </w:rPr>
        <w:t xml:space="preserve"> уже заполнен</w:t>
      </w:r>
      <w:r>
        <w:rPr>
          <w:rFonts w:ascii="Times New Roman" w:hAnsi="Times New Roman" w:cs="Times New Roman"/>
          <w:b/>
        </w:rPr>
        <w:t>;</w:t>
      </w:r>
    </w:p>
    <w:p w:rsidR="003725C6" w:rsidRPr="00B24A9A" w:rsidRDefault="003725C6" w:rsidP="003725C6">
      <w:pPr>
        <w:pStyle w:val="af0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</w:rPr>
      </w:pPr>
      <w:r w:rsidRPr="00B24A9A">
        <w:rPr>
          <w:rFonts w:ascii="Times New Roman" w:hAnsi="Times New Roman" w:cs="Times New Roman"/>
        </w:rPr>
        <w:t xml:space="preserve">Тип документа. </w:t>
      </w:r>
      <w:r>
        <w:rPr>
          <w:rFonts w:ascii="Times New Roman" w:hAnsi="Times New Roman" w:cs="Times New Roman"/>
        </w:rPr>
        <w:t>Обращение к справочнику Типы документов. Затем о</w:t>
      </w:r>
      <w:r w:rsidRPr="00B24A9A">
        <w:rPr>
          <w:rFonts w:ascii="Times New Roman" w:hAnsi="Times New Roman" w:cs="Times New Roman"/>
        </w:rPr>
        <w:t>бращение к соответствующему реестру</w:t>
      </w:r>
      <w:r>
        <w:rPr>
          <w:rFonts w:ascii="Times New Roman" w:hAnsi="Times New Roman" w:cs="Times New Roman"/>
        </w:rPr>
        <w:t xml:space="preserve"> по типу документа</w:t>
      </w:r>
      <w:r w:rsidRPr="00B24A9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Если оператор добавляет документ в соответствующий реестр, то нажимает</w:t>
      </w:r>
      <w:r w:rsidRPr="00B24A9A">
        <w:rPr>
          <w:rFonts w:ascii="Times New Roman" w:hAnsi="Times New Roman" w:cs="Times New Roman"/>
        </w:rPr>
        <w:t xml:space="preserve"> кнопк</w:t>
      </w:r>
      <w:r>
        <w:rPr>
          <w:rFonts w:ascii="Times New Roman" w:hAnsi="Times New Roman" w:cs="Times New Roman"/>
        </w:rPr>
        <w:t>у</w:t>
      </w:r>
      <w:r w:rsidRPr="00B24A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Добавить (Новый</w:t>
      </w:r>
      <w:r w:rsidR="00C80FE0">
        <w:rPr>
          <w:rFonts w:ascii="Times New Roman" w:hAnsi="Times New Roman" w:cs="Times New Roman"/>
        </w:rPr>
        <w:t>, Правка</w:t>
      </w:r>
      <w:r>
        <w:rPr>
          <w:rFonts w:ascii="Times New Roman" w:hAnsi="Times New Roman" w:cs="Times New Roman"/>
        </w:rPr>
        <w:t>)</w:t>
      </w:r>
      <w:r w:rsidR="002A1B90">
        <w:rPr>
          <w:rFonts w:ascii="Times New Roman" w:hAnsi="Times New Roman" w:cs="Times New Roman"/>
        </w:rPr>
        <w:t xml:space="preserve"> и далее работает по добавлению документа по стандартной технологии. Е</w:t>
      </w:r>
      <w:r>
        <w:rPr>
          <w:rFonts w:ascii="Times New Roman" w:hAnsi="Times New Roman" w:cs="Times New Roman"/>
        </w:rPr>
        <w:t xml:space="preserve">сли документ существует в реестре, то оператор должен выбрать </w:t>
      </w:r>
      <w:r w:rsidRPr="00B24A9A">
        <w:rPr>
          <w:rFonts w:ascii="Times New Roman" w:hAnsi="Times New Roman" w:cs="Times New Roman"/>
        </w:rPr>
        <w:t>уже имеющ</w:t>
      </w:r>
      <w:r>
        <w:rPr>
          <w:rFonts w:ascii="Times New Roman" w:hAnsi="Times New Roman" w:cs="Times New Roman"/>
        </w:rPr>
        <w:t>ий</w:t>
      </w:r>
      <w:r w:rsidRPr="00B24A9A">
        <w:rPr>
          <w:rFonts w:ascii="Times New Roman" w:hAnsi="Times New Roman" w:cs="Times New Roman"/>
        </w:rPr>
        <w:t>ся документ;</w:t>
      </w:r>
    </w:p>
    <w:p w:rsidR="003725C6" w:rsidRPr="00B24A9A" w:rsidRDefault="003725C6" w:rsidP="003725C6">
      <w:pPr>
        <w:pStyle w:val="af0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</w:rPr>
      </w:pPr>
      <w:r w:rsidRPr="00B24A9A">
        <w:rPr>
          <w:rFonts w:ascii="Times New Roman" w:hAnsi="Times New Roman" w:cs="Times New Roman"/>
        </w:rPr>
        <w:t xml:space="preserve">Номер документа, </w:t>
      </w:r>
    </w:p>
    <w:p w:rsidR="003725C6" w:rsidRPr="00B24A9A" w:rsidRDefault="003725C6" w:rsidP="003725C6">
      <w:pPr>
        <w:pStyle w:val="af0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</w:rPr>
      </w:pPr>
      <w:r w:rsidRPr="00B24A9A">
        <w:rPr>
          <w:rFonts w:ascii="Times New Roman" w:hAnsi="Times New Roman" w:cs="Times New Roman"/>
        </w:rPr>
        <w:t>Дата документа</w:t>
      </w:r>
    </w:p>
    <w:p w:rsidR="003725C6" w:rsidRPr="00B24A9A" w:rsidRDefault="003725C6" w:rsidP="003725C6">
      <w:pPr>
        <w:pStyle w:val="af0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</w:rPr>
      </w:pPr>
      <w:r w:rsidRPr="00B24A9A">
        <w:rPr>
          <w:rFonts w:ascii="Times New Roman" w:hAnsi="Times New Roman" w:cs="Times New Roman"/>
        </w:rPr>
        <w:t>Сумма, НДС, Сумма с НДС</w:t>
      </w:r>
      <w:r w:rsidR="002A1B90">
        <w:rPr>
          <w:rFonts w:ascii="Times New Roman" w:hAnsi="Times New Roman" w:cs="Times New Roman"/>
        </w:rPr>
        <w:t xml:space="preserve"> (руб.)</w:t>
      </w:r>
    </w:p>
    <w:p w:rsidR="003725C6" w:rsidRDefault="003725C6" w:rsidP="003725C6">
      <w:pPr>
        <w:pStyle w:val="af0"/>
      </w:pPr>
    </w:p>
    <w:p w:rsidR="003725C6" w:rsidRPr="00672A79" w:rsidRDefault="003725C6" w:rsidP="003725C6">
      <w:pPr>
        <w:pStyle w:val="af0"/>
        <w:rPr>
          <w:rFonts w:ascii="Times New Roman" w:hAnsi="Times New Roman" w:cs="Times New Roman"/>
          <w:b/>
        </w:rPr>
      </w:pPr>
      <w:r w:rsidRPr="00672A79">
        <w:rPr>
          <w:rFonts w:ascii="Times New Roman" w:hAnsi="Times New Roman" w:cs="Times New Roman"/>
          <w:b/>
        </w:rPr>
        <w:t>Особенности и проверки:</w:t>
      </w:r>
    </w:p>
    <w:p w:rsidR="003725C6" w:rsidRDefault="003725C6" w:rsidP="003725C6">
      <w:pPr>
        <w:pStyle w:val="af0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24A9A">
        <w:rPr>
          <w:rFonts w:ascii="Times New Roman" w:hAnsi="Times New Roman" w:cs="Times New Roman"/>
        </w:rPr>
        <w:t xml:space="preserve">При выборе </w:t>
      </w:r>
      <w:r>
        <w:rPr>
          <w:rFonts w:ascii="Times New Roman" w:hAnsi="Times New Roman" w:cs="Times New Roman"/>
        </w:rPr>
        <w:t>ранее введенного документа обеспечен контроль на совпадение кодов партнеров. Партнеры в выбранном документе должны совпадать с любыми двумя партнерами из трех, указанными в текущей карточке БГ;</w:t>
      </w:r>
    </w:p>
    <w:p w:rsidR="003725C6" w:rsidRPr="00E743F8" w:rsidRDefault="003725C6" w:rsidP="0086099B">
      <w:pPr>
        <w:pStyle w:val="af0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E743F8">
        <w:rPr>
          <w:rFonts w:ascii="Times New Roman" w:hAnsi="Times New Roman" w:cs="Times New Roman"/>
        </w:rPr>
        <w:t>Просмотр документа, указанного в списке</w:t>
      </w:r>
      <w:r w:rsidR="00EE3C69" w:rsidRPr="00E743F8">
        <w:rPr>
          <w:rFonts w:ascii="Times New Roman" w:hAnsi="Times New Roman" w:cs="Times New Roman"/>
        </w:rPr>
        <w:t>, осуществляется</w:t>
      </w:r>
      <w:r w:rsidR="001A5C29" w:rsidRPr="00E743F8">
        <w:rPr>
          <w:rFonts w:ascii="Times New Roman" w:hAnsi="Times New Roman" w:cs="Times New Roman"/>
        </w:rPr>
        <w:t xml:space="preserve"> также,</w:t>
      </w:r>
      <w:r w:rsidR="00E743F8" w:rsidRPr="00E743F8">
        <w:rPr>
          <w:rFonts w:ascii="Times New Roman" w:hAnsi="Times New Roman" w:cs="Times New Roman"/>
        </w:rPr>
        <w:t xml:space="preserve"> </w:t>
      </w:r>
      <w:r w:rsidR="001A5C29" w:rsidRPr="00E743F8">
        <w:rPr>
          <w:rFonts w:ascii="Times New Roman" w:hAnsi="Times New Roman" w:cs="Times New Roman"/>
        </w:rPr>
        <w:t xml:space="preserve">как переход по гиперссылке – нажатие клавиши </w:t>
      </w:r>
      <w:r w:rsidR="001A5C29" w:rsidRPr="00E743F8">
        <w:rPr>
          <w:rFonts w:ascii="Times New Roman" w:hAnsi="Times New Roman" w:cs="Times New Roman"/>
          <w:lang w:val="en-US"/>
        </w:rPr>
        <w:t>CTRL</w:t>
      </w:r>
      <w:r w:rsidR="00E743F8" w:rsidRPr="00E743F8">
        <w:rPr>
          <w:rFonts w:ascii="Times New Roman" w:hAnsi="Times New Roman" w:cs="Times New Roman"/>
        </w:rPr>
        <w:t xml:space="preserve"> плюс</w:t>
      </w:r>
      <w:r w:rsidR="001A5C29" w:rsidRPr="00E743F8">
        <w:rPr>
          <w:rFonts w:ascii="Times New Roman" w:hAnsi="Times New Roman" w:cs="Times New Roman"/>
        </w:rPr>
        <w:t xml:space="preserve"> щелчок мышки по номеру документа</w:t>
      </w:r>
      <w:r w:rsidRPr="00E743F8">
        <w:rPr>
          <w:rFonts w:ascii="Times New Roman" w:hAnsi="Times New Roman" w:cs="Times New Roman"/>
        </w:rPr>
        <w:t>;</w:t>
      </w:r>
    </w:p>
    <w:p w:rsidR="003725C6" w:rsidRDefault="003725C6" w:rsidP="003725C6">
      <w:pPr>
        <w:pStyle w:val="af0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нескольких документов одного и того же отношения к учету БГ не является ошибкой, но выда</w:t>
      </w:r>
      <w:r w:rsidR="00EE3C69">
        <w:rPr>
          <w:rFonts w:ascii="Times New Roman" w:hAnsi="Times New Roman" w:cs="Times New Roman"/>
        </w:rPr>
        <w:t>ется</w:t>
      </w:r>
      <w:r>
        <w:rPr>
          <w:rFonts w:ascii="Times New Roman" w:hAnsi="Times New Roman" w:cs="Times New Roman"/>
        </w:rPr>
        <w:t xml:space="preserve"> предупреждени</w:t>
      </w:r>
      <w:r w:rsidR="00EE3C6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о дублировании документов, имеющих о</w:t>
      </w:r>
      <w:r w:rsidR="00EE3C69">
        <w:rPr>
          <w:rFonts w:ascii="Times New Roman" w:hAnsi="Times New Roman" w:cs="Times New Roman"/>
        </w:rPr>
        <w:t>динаковое отношение к учету БГ;</w:t>
      </w:r>
    </w:p>
    <w:p w:rsidR="003725C6" w:rsidRPr="00B24A9A" w:rsidRDefault="003725C6" w:rsidP="003725C6">
      <w:pPr>
        <w:pStyle w:val="af0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вводе нового документа </w:t>
      </w:r>
      <w:r w:rsidR="00EE3C69">
        <w:rPr>
          <w:rFonts w:ascii="Times New Roman" w:hAnsi="Times New Roman" w:cs="Times New Roman"/>
        </w:rPr>
        <w:t>в ряде случаев необх</w:t>
      </w:r>
      <w:r>
        <w:rPr>
          <w:rFonts w:ascii="Times New Roman" w:hAnsi="Times New Roman" w:cs="Times New Roman"/>
        </w:rPr>
        <w:t>одимо уточнить: «Произвести автоматическое заполнение». При ответе «да» автозаполнение документов – см. ниже. При ответе «нет» автозаполнение не производится.</w:t>
      </w:r>
    </w:p>
    <w:p w:rsidR="003725C6" w:rsidRDefault="003725C6" w:rsidP="003725C6">
      <w:pPr>
        <w:pStyle w:val="af0"/>
        <w:rPr>
          <w:rFonts w:ascii="Times New Roman" w:hAnsi="Times New Roman" w:cs="Times New Roman"/>
        </w:rPr>
      </w:pPr>
    </w:p>
    <w:p w:rsidR="003725C6" w:rsidRDefault="003725C6" w:rsidP="003725C6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справки - как правило документы имеют отношение к БГ таким образом:</w:t>
      </w:r>
    </w:p>
    <w:p w:rsidR="003725C6" w:rsidRPr="00B24A9A" w:rsidRDefault="003725C6" w:rsidP="003725C6">
      <w:pPr>
        <w:pStyle w:val="af0"/>
        <w:numPr>
          <w:ilvl w:val="0"/>
          <w:numId w:val="18"/>
        </w:numPr>
        <w:rPr>
          <w:rFonts w:ascii="Times New Roman" w:hAnsi="Times New Roman" w:cs="Times New Roman"/>
        </w:rPr>
      </w:pPr>
      <w:r w:rsidRPr="00B24A9A">
        <w:rPr>
          <w:rFonts w:ascii="Times New Roman" w:hAnsi="Times New Roman" w:cs="Times New Roman"/>
        </w:rPr>
        <w:t xml:space="preserve">Уплата вознаграждения банку – </w:t>
      </w:r>
      <w:r>
        <w:rPr>
          <w:rFonts w:ascii="Times New Roman" w:hAnsi="Times New Roman" w:cs="Times New Roman"/>
        </w:rPr>
        <w:t>платежное поручение (</w:t>
      </w:r>
      <w:r w:rsidRPr="00B24A9A">
        <w:rPr>
          <w:rFonts w:ascii="Times New Roman" w:hAnsi="Times New Roman" w:cs="Times New Roman"/>
        </w:rPr>
        <w:t>ПП</w:t>
      </w:r>
      <w:r>
        <w:rPr>
          <w:rFonts w:ascii="Times New Roman" w:hAnsi="Times New Roman" w:cs="Times New Roman"/>
        </w:rPr>
        <w:t>)</w:t>
      </w:r>
      <w:r w:rsidRPr="00B24A9A">
        <w:rPr>
          <w:rFonts w:ascii="Times New Roman" w:hAnsi="Times New Roman" w:cs="Times New Roman"/>
        </w:rPr>
        <w:t>;</w:t>
      </w:r>
    </w:p>
    <w:p w:rsidR="003725C6" w:rsidRPr="00B24A9A" w:rsidRDefault="003725C6" w:rsidP="003725C6">
      <w:pPr>
        <w:pStyle w:val="af0"/>
        <w:numPr>
          <w:ilvl w:val="0"/>
          <w:numId w:val="18"/>
        </w:numPr>
        <w:rPr>
          <w:rFonts w:ascii="Times New Roman" w:hAnsi="Times New Roman" w:cs="Times New Roman"/>
        </w:rPr>
      </w:pPr>
      <w:r w:rsidRPr="00B24A9A">
        <w:rPr>
          <w:rFonts w:ascii="Times New Roman" w:hAnsi="Times New Roman" w:cs="Times New Roman"/>
        </w:rPr>
        <w:t>Учет вознаграждения банку – Бухгалтерская справка;</w:t>
      </w:r>
    </w:p>
    <w:p w:rsidR="003725C6" w:rsidRPr="00B24A9A" w:rsidRDefault="003725C6" w:rsidP="003725C6">
      <w:pPr>
        <w:pStyle w:val="af0"/>
        <w:numPr>
          <w:ilvl w:val="0"/>
          <w:numId w:val="18"/>
        </w:numPr>
        <w:rPr>
          <w:rFonts w:ascii="Times New Roman" w:hAnsi="Times New Roman" w:cs="Times New Roman"/>
        </w:rPr>
      </w:pPr>
      <w:r w:rsidRPr="00B24A9A">
        <w:rPr>
          <w:rFonts w:ascii="Times New Roman" w:hAnsi="Times New Roman" w:cs="Times New Roman"/>
        </w:rPr>
        <w:t>Принятие к учету товаров (работ, услуг) - Приходная накладная, Акт выполненных работ;</w:t>
      </w:r>
    </w:p>
    <w:p w:rsidR="003725C6" w:rsidRPr="00B24A9A" w:rsidRDefault="003725C6" w:rsidP="003725C6">
      <w:pPr>
        <w:pStyle w:val="af0"/>
        <w:rPr>
          <w:rFonts w:ascii="Times New Roman" w:hAnsi="Times New Roman" w:cs="Times New Roman"/>
        </w:rPr>
      </w:pPr>
    </w:p>
    <w:p w:rsidR="003725C6" w:rsidRPr="00672A79" w:rsidRDefault="003725C6" w:rsidP="003725C6">
      <w:pPr>
        <w:pStyle w:val="af0"/>
        <w:rPr>
          <w:rFonts w:ascii="Times New Roman" w:hAnsi="Times New Roman" w:cs="Times New Roman"/>
          <w:b/>
        </w:rPr>
      </w:pPr>
      <w:r w:rsidRPr="00672A79">
        <w:rPr>
          <w:rFonts w:ascii="Times New Roman" w:hAnsi="Times New Roman" w:cs="Times New Roman"/>
          <w:b/>
        </w:rPr>
        <w:t>Особенности заполнения документов при вводе нового в реестре:</w:t>
      </w:r>
    </w:p>
    <w:p w:rsidR="003725C6" w:rsidRDefault="003725C6" w:rsidP="003725C6">
      <w:pPr>
        <w:pStyle w:val="af0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вводе документа Уплата банку автоматически заполняются поля Плательщик (Принципал), Получатель (Гарант), если совпадает направление платежа «платим мы» (иначе сообщение об ошибке и автоматическое заполнение не производится). Автоматически заполняется сумма платежа, назначение платежа (Комментарий), дата платежа. Банковские реквизиты заполняются по кодам партнеров Остальные реквизиты заполняет (или </w:t>
      </w:r>
      <w:r w:rsidR="00706E63">
        <w:rPr>
          <w:rFonts w:ascii="Times New Roman" w:hAnsi="Times New Roman" w:cs="Times New Roman"/>
        </w:rPr>
        <w:t>ис</w:t>
      </w:r>
      <w:r>
        <w:rPr>
          <w:rFonts w:ascii="Times New Roman" w:hAnsi="Times New Roman" w:cs="Times New Roman"/>
        </w:rPr>
        <w:t>прав</w:t>
      </w:r>
      <w:r w:rsidR="00706E63">
        <w:rPr>
          <w:rFonts w:ascii="Times New Roman" w:hAnsi="Times New Roman" w:cs="Times New Roman"/>
        </w:rPr>
        <w:t>ляет</w:t>
      </w:r>
      <w:r>
        <w:rPr>
          <w:rFonts w:ascii="Times New Roman" w:hAnsi="Times New Roman" w:cs="Times New Roman"/>
        </w:rPr>
        <w:t>) оператор самостоятельно;</w:t>
      </w:r>
    </w:p>
    <w:p w:rsidR="003725C6" w:rsidRDefault="003725C6" w:rsidP="003725C6">
      <w:pPr>
        <w:pStyle w:val="af0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вводе документа Бухгалтерская справка автоматически заполняются номер (код БГ), дата выдачи, </w:t>
      </w:r>
      <w:r w:rsidR="00706E63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об</w:t>
      </w:r>
      <w:r w:rsidR="00706E63">
        <w:rPr>
          <w:rFonts w:ascii="Times New Roman" w:hAnsi="Times New Roman" w:cs="Times New Roman"/>
        </w:rPr>
        <w:t>ственна</w:t>
      </w:r>
      <w:r w:rsidR="000B4D54">
        <w:rPr>
          <w:rFonts w:ascii="Times New Roman" w:hAnsi="Times New Roman" w:cs="Times New Roman"/>
        </w:rPr>
        <w:t xml:space="preserve">я </w:t>
      </w:r>
      <w:r>
        <w:rPr>
          <w:rFonts w:ascii="Times New Roman" w:hAnsi="Times New Roman" w:cs="Times New Roman"/>
        </w:rPr>
        <w:t xml:space="preserve">организация (Принципал), Партнер (Гарант и расшифровка), данные по валюте (если заполнено), табельный номер, статья </w:t>
      </w:r>
      <w:r>
        <w:rPr>
          <w:rFonts w:ascii="Times New Roman" w:hAnsi="Times New Roman" w:cs="Times New Roman"/>
        </w:rPr>
        <w:lastRenderedPageBreak/>
        <w:t>затрат, отдел, ШПЗ (если заполнено), Комментарий (Комментарий), сумма проводки (сумма вознаграждения).</w:t>
      </w:r>
    </w:p>
    <w:p w:rsidR="000B4D54" w:rsidRDefault="000B4D54" w:rsidP="003725C6">
      <w:pPr>
        <w:pStyle w:val="af0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Документы, имеющие «отношение к складу», не доступны для ввода в модуле Бухгалтерия, поэтому такого рода документы могут быть только выбраны для просмотра.</w:t>
      </w:r>
    </w:p>
    <w:p w:rsidR="003725C6" w:rsidRDefault="003725C6" w:rsidP="003725C6">
      <w:pPr>
        <w:spacing w:before="100" w:beforeAutospacing="1" w:after="150"/>
        <w:ind w:firstLine="360"/>
        <w:jc w:val="both"/>
      </w:pPr>
      <w:r>
        <w:t>Далее функциональность заполнения документов должна соответствовать стандартной, автоматических действий не предполагается, оператор выполняет процесс обработки под собственным контролем по стандартной технологии.</w:t>
      </w:r>
    </w:p>
    <w:p w:rsidR="003725C6" w:rsidRPr="00B24A9A" w:rsidRDefault="003725C6" w:rsidP="003725C6">
      <w:pPr>
        <w:spacing w:before="100" w:beforeAutospacing="1" w:after="150"/>
        <w:jc w:val="both"/>
      </w:pPr>
    </w:p>
    <w:p w:rsidR="003725C6" w:rsidRDefault="003725C6" w:rsidP="003725C6">
      <w:pPr>
        <w:pStyle w:val="1"/>
      </w:pPr>
      <w:bookmarkStart w:id="4" w:name="_Toc192844804"/>
      <w:r>
        <w:t>Заключение</w:t>
      </w:r>
      <w:bookmarkEnd w:id="4"/>
    </w:p>
    <w:p w:rsidR="003725C6" w:rsidRDefault="00567E54" w:rsidP="003725C6">
      <w:pPr>
        <w:pStyle w:val="ad"/>
        <w:ind w:firstLine="360"/>
        <w:rPr>
          <w:sz w:val="24"/>
          <w:szCs w:val="24"/>
        </w:rPr>
      </w:pPr>
      <w:r>
        <w:rPr>
          <w:sz w:val="24"/>
          <w:szCs w:val="24"/>
        </w:rPr>
        <w:t>При возникновении дополнительных вопросов вы всегда можете обратиться на Горячую линию.</w:t>
      </w:r>
      <w:bookmarkStart w:id="5" w:name="_GoBack"/>
      <w:bookmarkEnd w:id="5"/>
    </w:p>
    <w:p w:rsidR="003725C6" w:rsidRDefault="003725C6" w:rsidP="003725C6">
      <w:pPr>
        <w:pStyle w:val="ad"/>
        <w:ind w:left="1077"/>
        <w:rPr>
          <w:sz w:val="24"/>
          <w:szCs w:val="24"/>
        </w:rPr>
      </w:pPr>
    </w:p>
    <w:p w:rsidR="002D5CF6" w:rsidRPr="003725C6" w:rsidRDefault="002D5CF6" w:rsidP="003725C6"/>
    <w:sectPr w:rsidR="002D5CF6" w:rsidRPr="003725C6" w:rsidSect="006F7068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D12" w:rsidRDefault="004A0D12" w:rsidP="00880A7B">
      <w:r>
        <w:separator/>
      </w:r>
    </w:p>
  </w:endnote>
  <w:endnote w:type="continuationSeparator" w:id="0">
    <w:p w:rsidR="004A0D12" w:rsidRDefault="004A0D12" w:rsidP="00880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A7B" w:rsidRPr="00880A7B" w:rsidRDefault="006F7068">
    <w:pPr>
      <w:pStyle w:val="a8"/>
      <w:jc w:val="right"/>
      <w:rPr>
        <w:rFonts w:ascii="Calibri" w:hAnsi="Calibri"/>
      </w:rPr>
    </w:pPr>
    <w:r w:rsidRPr="00880A7B">
      <w:rPr>
        <w:rFonts w:ascii="Calibri" w:hAnsi="Calibri"/>
      </w:rPr>
      <w:fldChar w:fldCharType="begin"/>
    </w:r>
    <w:r w:rsidR="00880A7B" w:rsidRPr="00880A7B">
      <w:rPr>
        <w:rFonts w:ascii="Calibri" w:hAnsi="Calibri"/>
      </w:rPr>
      <w:instrText>PAGE   \* MERGEFORMAT</w:instrText>
    </w:r>
    <w:r w:rsidRPr="00880A7B">
      <w:rPr>
        <w:rFonts w:ascii="Calibri" w:hAnsi="Calibri"/>
      </w:rPr>
      <w:fldChar w:fldCharType="separate"/>
    </w:r>
    <w:r w:rsidR="00CD4CB6">
      <w:rPr>
        <w:rFonts w:ascii="Calibri" w:hAnsi="Calibri"/>
        <w:noProof/>
      </w:rPr>
      <w:t>1</w:t>
    </w:r>
    <w:r w:rsidRPr="00880A7B">
      <w:rPr>
        <w:rFonts w:ascii="Calibri" w:hAnsi="Calibri"/>
      </w:rPr>
      <w:fldChar w:fldCharType="end"/>
    </w:r>
  </w:p>
  <w:p w:rsidR="00880A7B" w:rsidRPr="0085025A" w:rsidRDefault="00880A7B" w:rsidP="00880A7B">
    <w:pPr>
      <w:pStyle w:val="a8"/>
      <w:jc w:val="center"/>
      <w:rPr>
        <w:rFonts w:ascii="Calibri" w:hAnsi="Calibri"/>
        <w:color w:val="808080"/>
      </w:rPr>
    </w:pPr>
    <w:r w:rsidRPr="00880A7B">
      <w:rPr>
        <w:rFonts w:ascii="Calibri" w:hAnsi="Calibri"/>
        <w:color w:val="808080"/>
      </w:rPr>
      <w:t>ООО "Компас", 20</w:t>
    </w:r>
    <w:r w:rsidR="00AB6947">
      <w:rPr>
        <w:rFonts w:ascii="Calibri" w:hAnsi="Calibri"/>
        <w:color w:val="808080"/>
      </w:rPr>
      <w:t>2</w:t>
    </w:r>
    <w:r w:rsidR="0085025A">
      <w:rPr>
        <w:rFonts w:ascii="Calibri" w:hAnsi="Calibri"/>
        <w:color w:val="808080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D12" w:rsidRDefault="004A0D12" w:rsidP="00880A7B">
      <w:r>
        <w:separator/>
      </w:r>
    </w:p>
  </w:footnote>
  <w:footnote w:type="continuationSeparator" w:id="0">
    <w:p w:rsidR="004A0D12" w:rsidRDefault="004A0D12" w:rsidP="00880A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A7B" w:rsidRDefault="001171B2" w:rsidP="00880A7B">
    <w:pPr>
      <w:pStyle w:val="a6"/>
      <w:jc w:val="right"/>
    </w:pPr>
    <w:r>
      <w:rPr>
        <w:noProof/>
      </w:rPr>
      <w:drawing>
        <wp:inline distT="0" distB="0" distL="0" distR="0">
          <wp:extent cx="1800225" cy="542925"/>
          <wp:effectExtent l="19050" t="0" r="0" b="0"/>
          <wp:docPr id="15" name="Рисунок 20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0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17924" b="-20016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0A7B" w:rsidRDefault="006F7068" w:rsidP="00880A7B">
    <w:r w:rsidRPr="006F7068">
      <w:rPr>
        <w:noProof/>
        <w:color w:val="C00000"/>
        <w:spacing w:val="3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6145" type="#_x0000_t32" style="position:absolute;margin-left:-11.35pt;margin-top:2.25pt;width:492.65pt;height:.25pt;flip:y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7bmrgIAAJsFAAAOAAAAZHJzL2Uyb0RvYy54bWysVN9vmzAQfp+0/8HinQIJkBQ1qRIge+m2&#10;Su22ZwcbsAY2sp2QaNr/vrMhtOlepqmJhPzj7ru77z7f3f2pbdCRSsUEXznBje8gygtBGK9Wzrfn&#10;nbt0kNKYE9wITlfOmSrnfv3xw13fJXQmatEQKhGAcJX03cqpte4Sz1NFTVusbkRHOVyWQrZYw1ZW&#10;HpG4B/S28Wa+H3u9kKSToqBKwWk2XDpri1+WtNBfy1JRjZqVA7lp+5X2uzdfb32Hk0rirmbFmAb+&#10;jyxazDgEnaAyrDE6SPYXVMsKKZQo9U0hWk+UJSuorQGqCfw31TzVuKO2FiBHdRNN6v1giy/HR4kY&#10;gd45iOMWWrQ5aGEjo8DQ03cqAauUP0pTYHHiT92DKH4qxEVaY15Ra/x87sDXenhXLmajOgiy7z8L&#10;AjYY8C1Xp1K2qGxY9904GnDgA51sc85Tc+hJowIO41kUx1HkoALu5sEiMsl5ODEoxreTSn+iokVm&#10;sXKUlphVtU4F56ACIYcI+Pig9OB4cTDOXOxY01gxNBz1YwBzo0TDiLm0G1nt00aiIwY5hdtNmsZj&#10;FldmBjnDqh7s1FllQg9Kk+LAiQ1TU0zyca0xa4Y11NNwE4la7Q65wu6kYWnPgQ2rq1+3/m2+zJeh&#10;G87i3A39LHM3uzR04x1wk82zNM2C34bVIExqRgjlpoqLxoPw3zQ0vrZBnZPKJ7q8a3TbEEj2OtPN&#10;LvIX4XzpLhbR3A3nue9ul7vU3aRBHC/ybbrN32Sa2+rV+yQ7UWmyEgdN5VNNekSYkck8up2B8gmD&#10;mTBb+ObnINxUMMwKLR0khf7BdG0lbiRpMNRrFSxj8x9VMKEPRFx6aHZTF8baXqiCnl/6a1+OeSzD&#10;s9sLcn6URq3mEcEEsE7jtDIj5vXeWr3M1PUfAAAA//8DAFBLAwQUAAYACAAAACEAPSlkPNwAAAAH&#10;AQAADwAAAGRycy9kb3ducmV2LnhtbEyOTU+DQBRF9yb+h8kzcdcOEkGLDI0fqYlJE2Ox+wfzBCLz&#10;hjADxX/vdKXLm3tz7sm3i+nFTKPrLCu4WUcgiGurO24UfJa71T0I55E19pZJwQ852BaXFzlm2p74&#10;g+aDb0SAsMtQQev9kEnp6pYMurUdiEP3ZUeDPsSxkXrEU4CbXsZRlEqDHYeHFgd6bqn+PkxGwW3y&#10;Uj7t9+URk+l9V7++zdWUSqWur5bHBxCeFv83hrN+UIciOFV2Yu1Er2AVx3dheoaBCP0mjVMQlYIk&#10;Alnk8r9/8QsAAP//AwBQSwECLQAUAAYACAAAACEAtoM4kv4AAADhAQAAEwAAAAAAAAAAAAAAAAAA&#10;AAAAW0NvbnRlbnRfVHlwZXNdLnhtbFBLAQItABQABgAIAAAAIQA4/SH/1gAAAJQBAAALAAAAAAAA&#10;AAAAAAAAAC8BAABfcmVscy8ucmVsc1BLAQItABQABgAIAAAAIQAV67bmrgIAAJsFAAAOAAAAAAAA&#10;AAAAAAAAAC4CAABkcnMvZTJvRG9jLnhtbFBLAQItABQABgAIAAAAIQA9KWQ83AAAAAcBAAAPAAAA&#10;AAAAAAAAAAAAAAgFAABkcnMvZG93bnJldi54bWxQSwUGAAAAAAQABADzAAAAEQYAAAAA&#10;" strokecolor="#4bacc6" strokeweight=".25pt">
          <v:stroke dashstyle="1 1"/>
          <v:shadow color="#868686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037"/>
    <w:multiLevelType w:val="hybridMultilevel"/>
    <w:tmpl w:val="DD6E839E"/>
    <w:lvl w:ilvl="0" w:tplc="35CE9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532FF4"/>
    <w:multiLevelType w:val="hybridMultilevel"/>
    <w:tmpl w:val="C44AC6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B06EF0"/>
    <w:multiLevelType w:val="hybridMultilevel"/>
    <w:tmpl w:val="8C2AC8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A311F8"/>
    <w:multiLevelType w:val="hybridMultilevel"/>
    <w:tmpl w:val="DD9682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D91DA8"/>
    <w:multiLevelType w:val="hybridMultilevel"/>
    <w:tmpl w:val="F4086C08"/>
    <w:lvl w:ilvl="0" w:tplc="35CE9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B67C26"/>
    <w:multiLevelType w:val="hybridMultilevel"/>
    <w:tmpl w:val="12E674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7A48A9"/>
    <w:multiLevelType w:val="hybridMultilevel"/>
    <w:tmpl w:val="9D9CE8B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229A2E05"/>
    <w:multiLevelType w:val="hybridMultilevel"/>
    <w:tmpl w:val="4F74967E"/>
    <w:lvl w:ilvl="0" w:tplc="763C7F32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D4164"/>
    <w:multiLevelType w:val="hybridMultilevel"/>
    <w:tmpl w:val="17F8C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D01C1D"/>
    <w:multiLevelType w:val="hybridMultilevel"/>
    <w:tmpl w:val="723A9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272514"/>
    <w:multiLevelType w:val="hybridMultilevel"/>
    <w:tmpl w:val="794CD7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AA9084E"/>
    <w:multiLevelType w:val="hybridMultilevel"/>
    <w:tmpl w:val="8C38B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11BEE"/>
    <w:multiLevelType w:val="multilevel"/>
    <w:tmpl w:val="7664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0D0D8F"/>
    <w:multiLevelType w:val="multilevel"/>
    <w:tmpl w:val="5E3EC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6B947FF"/>
    <w:multiLevelType w:val="hybridMultilevel"/>
    <w:tmpl w:val="3BF0FA8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CA3C1162">
      <w:numFmt w:val="bullet"/>
      <w:lvlText w:val="•"/>
      <w:lvlJc w:val="left"/>
      <w:pPr>
        <w:ind w:left="1845" w:hanging="705"/>
      </w:pPr>
      <w:rPr>
        <w:rFonts w:ascii="Calibri" w:eastAsia="Times New Roman" w:hAnsi="Calibri" w:cs="Times New Roman" w:hint="default"/>
        <w:b w:val="0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D9A1DC3"/>
    <w:multiLevelType w:val="hybridMultilevel"/>
    <w:tmpl w:val="F5C4F3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1604272"/>
    <w:multiLevelType w:val="multilevel"/>
    <w:tmpl w:val="4EF81712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31371B8"/>
    <w:multiLevelType w:val="hybridMultilevel"/>
    <w:tmpl w:val="E4C27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16BD0"/>
    <w:multiLevelType w:val="hybridMultilevel"/>
    <w:tmpl w:val="A6B85B4C"/>
    <w:lvl w:ilvl="0" w:tplc="650259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87521C"/>
    <w:multiLevelType w:val="hybridMultilevel"/>
    <w:tmpl w:val="71E03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11"/>
  </w:num>
  <w:num w:numId="6">
    <w:abstractNumId w:val="14"/>
  </w:num>
  <w:num w:numId="7">
    <w:abstractNumId w:val="16"/>
  </w:num>
  <w:num w:numId="8">
    <w:abstractNumId w:val="13"/>
  </w:num>
  <w:num w:numId="9">
    <w:abstractNumId w:val="18"/>
  </w:num>
  <w:num w:numId="10">
    <w:abstractNumId w:val="7"/>
  </w:num>
  <w:num w:numId="11">
    <w:abstractNumId w:val="12"/>
  </w:num>
  <w:num w:numId="12">
    <w:abstractNumId w:val="17"/>
  </w:num>
  <w:num w:numId="13">
    <w:abstractNumId w:val="6"/>
  </w:num>
  <w:num w:numId="14">
    <w:abstractNumId w:val="19"/>
  </w:num>
  <w:num w:numId="15">
    <w:abstractNumId w:val="9"/>
  </w:num>
  <w:num w:numId="16">
    <w:abstractNumId w:val="10"/>
  </w:num>
  <w:num w:numId="17">
    <w:abstractNumId w:val="3"/>
  </w:num>
  <w:num w:numId="18">
    <w:abstractNumId w:val="1"/>
  </w:num>
  <w:num w:numId="19">
    <w:abstractNumId w:val="15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7170"/>
    <o:shapelayout v:ext="edit">
      <o:idmap v:ext="edit" data="6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54C58"/>
    <w:rsid w:val="00017F8C"/>
    <w:rsid w:val="00031B74"/>
    <w:rsid w:val="00053CFA"/>
    <w:rsid w:val="000577D6"/>
    <w:rsid w:val="00061973"/>
    <w:rsid w:val="00063AF2"/>
    <w:rsid w:val="000850FB"/>
    <w:rsid w:val="000861F7"/>
    <w:rsid w:val="000B4D54"/>
    <w:rsid w:val="000B781E"/>
    <w:rsid w:val="000C011E"/>
    <w:rsid w:val="000C55DC"/>
    <w:rsid w:val="000D244A"/>
    <w:rsid w:val="000D7B5A"/>
    <w:rsid w:val="000E36B6"/>
    <w:rsid w:val="000E4A92"/>
    <w:rsid w:val="000F494D"/>
    <w:rsid w:val="00116CD8"/>
    <w:rsid w:val="001171B2"/>
    <w:rsid w:val="001237A2"/>
    <w:rsid w:val="0013327D"/>
    <w:rsid w:val="00133EB7"/>
    <w:rsid w:val="001532D0"/>
    <w:rsid w:val="0016088C"/>
    <w:rsid w:val="00171CCC"/>
    <w:rsid w:val="0017236B"/>
    <w:rsid w:val="0019556A"/>
    <w:rsid w:val="001A5C29"/>
    <w:rsid w:val="001C6DC0"/>
    <w:rsid w:val="001D0470"/>
    <w:rsid w:val="001E37AD"/>
    <w:rsid w:val="002022FD"/>
    <w:rsid w:val="00213032"/>
    <w:rsid w:val="00220A02"/>
    <w:rsid w:val="00222952"/>
    <w:rsid w:val="00225AD6"/>
    <w:rsid w:val="00232980"/>
    <w:rsid w:val="00233E4C"/>
    <w:rsid w:val="00235912"/>
    <w:rsid w:val="00237823"/>
    <w:rsid w:val="002409D5"/>
    <w:rsid w:val="00242B9D"/>
    <w:rsid w:val="00253D55"/>
    <w:rsid w:val="00254A8F"/>
    <w:rsid w:val="00264695"/>
    <w:rsid w:val="00276884"/>
    <w:rsid w:val="0027796E"/>
    <w:rsid w:val="00296E33"/>
    <w:rsid w:val="002A0A41"/>
    <w:rsid w:val="002A1B90"/>
    <w:rsid w:val="002A3D28"/>
    <w:rsid w:val="002A5813"/>
    <w:rsid w:val="002A6AC7"/>
    <w:rsid w:val="002B7141"/>
    <w:rsid w:val="002D4973"/>
    <w:rsid w:val="002D5CF6"/>
    <w:rsid w:val="002D703A"/>
    <w:rsid w:val="002E0A8C"/>
    <w:rsid w:val="002E5AB5"/>
    <w:rsid w:val="002F2551"/>
    <w:rsid w:val="00301427"/>
    <w:rsid w:val="0031246D"/>
    <w:rsid w:val="003247B6"/>
    <w:rsid w:val="003425ED"/>
    <w:rsid w:val="003568C1"/>
    <w:rsid w:val="003576F6"/>
    <w:rsid w:val="00360A15"/>
    <w:rsid w:val="003725C6"/>
    <w:rsid w:val="003A6FEC"/>
    <w:rsid w:val="003B0E0B"/>
    <w:rsid w:val="003B2D5C"/>
    <w:rsid w:val="003B3AB3"/>
    <w:rsid w:val="003C0A47"/>
    <w:rsid w:val="003D2DCC"/>
    <w:rsid w:val="003D36FE"/>
    <w:rsid w:val="003E2486"/>
    <w:rsid w:val="003E4199"/>
    <w:rsid w:val="00430D07"/>
    <w:rsid w:val="00431CE1"/>
    <w:rsid w:val="0044101B"/>
    <w:rsid w:val="0044145D"/>
    <w:rsid w:val="00441543"/>
    <w:rsid w:val="00453FB6"/>
    <w:rsid w:val="00454581"/>
    <w:rsid w:val="004546EF"/>
    <w:rsid w:val="0045746C"/>
    <w:rsid w:val="00461F7C"/>
    <w:rsid w:val="00473442"/>
    <w:rsid w:val="0048234E"/>
    <w:rsid w:val="0048387C"/>
    <w:rsid w:val="00484C38"/>
    <w:rsid w:val="004969D3"/>
    <w:rsid w:val="004A00FA"/>
    <w:rsid w:val="004A0D12"/>
    <w:rsid w:val="004A41AF"/>
    <w:rsid w:val="004A4F52"/>
    <w:rsid w:val="004A67EC"/>
    <w:rsid w:val="004A7F63"/>
    <w:rsid w:val="004B159C"/>
    <w:rsid w:val="004B72FF"/>
    <w:rsid w:val="004C1031"/>
    <w:rsid w:val="004C16EF"/>
    <w:rsid w:val="004C39CF"/>
    <w:rsid w:val="004C7C60"/>
    <w:rsid w:val="004E1298"/>
    <w:rsid w:val="004E3915"/>
    <w:rsid w:val="004E782C"/>
    <w:rsid w:val="00503104"/>
    <w:rsid w:val="00505384"/>
    <w:rsid w:val="005207D7"/>
    <w:rsid w:val="005368D7"/>
    <w:rsid w:val="00551C12"/>
    <w:rsid w:val="00563B60"/>
    <w:rsid w:val="00567E54"/>
    <w:rsid w:val="0057271D"/>
    <w:rsid w:val="005805EE"/>
    <w:rsid w:val="00581BA5"/>
    <w:rsid w:val="005900A6"/>
    <w:rsid w:val="005926DC"/>
    <w:rsid w:val="005972AC"/>
    <w:rsid w:val="005B04B8"/>
    <w:rsid w:val="005B36B4"/>
    <w:rsid w:val="005B7D5C"/>
    <w:rsid w:val="005C098A"/>
    <w:rsid w:val="005C680C"/>
    <w:rsid w:val="005E10F6"/>
    <w:rsid w:val="005E3DCA"/>
    <w:rsid w:val="005F0E9A"/>
    <w:rsid w:val="005F4447"/>
    <w:rsid w:val="005F6599"/>
    <w:rsid w:val="00603EEC"/>
    <w:rsid w:val="00631C37"/>
    <w:rsid w:val="006328BD"/>
    <w:rsid w:val="00634775"/>
    <w:rsid w:val="006349C0"/>
    <w:rsid w:val="00634D46"/>
    <w:rsid w:val="0063542A"/>
    <w:rsid w:val="00644FCF"/>
    <w:rsid w:val="0065730E"/>
    <w:rsid w:val="00663C93"/>
    <w:rsid w:val="00663ECD"/>
    <w:rsid w:val="006724F4"/>
    <w:rsid w:val="00674348"/>
    <w:rsid w:val="00675087"/>
    <w:rsid w:val="006800F6"/>
    <w:rsid w:val="00680283"/>
    <w:rsid w:val="006848C8"/>
    <w:rsid w:val="00686223"/>
    <w:rsid w:val="006931F2"/>
    <w:rsid w:val="00693374"/>
    <w:rsid w:val="006A00A6"/>
    <w:rsid w:val="006A297F"/>
    <w:rsid w:val="006B13C6"/>
    <w:rsid w:val="006B6530"/>
    <w:rsid w:val="006C4B0E"/>
    <w:rsid w:val="006D5EF8"/>
    <w:rsid w:val="006F4312"/>
    <w:rsid w:val="006F7068"/>
    <w:rsid w:val="00706E63"/>
    <w:rsid w:val="0070787D"/>
    <w:rsid w:val="007152C2"/>
    <w:rsid w:val="00742213"/>
    <w:rsid w:val="007553BA"/>
    <w:rsid w:val="007574B3"/>
    <w:rsid w:val="0077742B"/>
    <w:rsid w:val="0078616C"/>
    <w:rsid w:val="00794F2A"/>
    <w:rsid w:val="007A55BE"/>
    <w:rsid w:val="007A594A"/>
    <w:rsid w:val="007B78A3"/>
    <w:rsid w:val="007C0F0E"/>
    <w:rsid w:val="007C4B5C"/>
    <w:rsid w:val="007D21C0"/>
    <w:rsid w:val="007D4AB4"/>
    <w:rsid w:val="007D7BBC"/>
    <w:rsid w:val="007E184F"/>
    <w:rsid w:val="007F23E7"/>
    <w:rsid w:val="007F2999"/>
    <w:rsid w:val="0080428E"/>
    <w:rsid w:val="00815546"/>
    <w:rsid w:val="0082206E"/>
    <w:rsid w:val="00832590"/>
    <w:rsid w:val="0085025A"/>
    <w:rsid w:val="008573E9"/>
    <w:rsid w:val="00864CA6"/>
    <w:rsid w:val="00865E49"/>
    <w:rsid w:val="0087025C"/>
    <w:rsid w:val="00872E3C"/>
    <w:rsid w:val="00875667"/>
    <w:rsid w:val="00880A7B"/>
    <w:rsid w:val="008939A8"/>
    <w:rsid w:val="008A7F64"/>
    <w:rsid w:val="008B4DE9"/>
    <w:rsid w:val="008C7BED"/>
    <w:rsid w:val="008E04D7"/>
    <w:rsid w:val="008E5C84"/>
    <w:rsid w:val="008F2D54"/>
    <w:rsid w:val="008F6006"/>
    <w:rsid w:val="008F7EB0"/>
    <w:rsid w:val="00922904"/>
    <w:rsid w:val="00922CD9"/>
    <w:rsid w:val="009333CE"/>
    <w:rsid w:val="0094350D"/>
    <w:rsid w:val="00947FFB"/>
    <w:rsid w:val="00972360"/>
    <w:rsid w:val="009800C4"/>
    <w:rsid w:val="009822EE"/>
    <w:rsid w:val="00992E25"/>
    <w:rsid w:val="009939A8"/>
    <w:rsid w:val="009C58E5"/>
    <w:rsid w:val="009E15C4"/>
    <w:rsid w:val="009E47E4"/>
    <w:rsid w:val="009E4EDF"/>
    <w:rsid w:val="009E6DED"/>
    <w:rsid w:val="009F0182"/>
    <w:rsid w:val="009F2108"/>
    <w:rsid w:val="009F5B4A"/>
    <w:rsid w:val="00A30636"/>
    <w:rsid w:val="00A345E7"/>
    <w:rsid w:val="00A34E1C"/>
    <w:rsid w:val="00A40C81"/>
    <w:rsid w:val="00A47FE6"/>
    <w:rsid w:val="00A5722B"/>
    <w:rsid w:val="00A64B09"/>
    <w:rsid w:val="00A66B4A"/>
    <w:rsid w:val="00A72D89"/>
    <w:rsid w:val="00A73CC9"/>
    <w:rsid w:val="00A91841"/>
    <w:rsid w:val="00AA7AB3"/>
    <w:rsid w:val="00AB6947"/>
    <w:rsid w:val="00AC30BF"/>
    <w:rsid w:val="00AD3269"/>
    <w:rsid w:val="00AD4A7D"/>
    <w:rsid w:val="00AD55D5"/>
    <w:rsid w:val="00AF1DA5"/>
    <w:rsid w:val="00B04B06"/>
    <w:rsid w:val="00B075B6"/>
    <w:rsid w:val="00B210BA"/>
    <w:rsid w:val="00B23B0F"/>
    <w:rsid w:val="00B33C65"/>
    <w:rsid w:val="00B50895"/>
    <w:rsid w:val="00B54BD8"/>
    <w:rsid w:val="00B5794B"/>
    <w:rsid w:val="00B76442"/>
    <w:rsid w:val="00B85847"/>
    <w:rsid w:val="00B8766B"/>
    <w:rsid w:val="00B97674"/>
    <w:rsid w:val="00BA0E68"/>
    <w:rsid w:val="00BA3868"/>
    <w:rsid w:val="00BA53FF"/>
    <w:rsid w:val="00BE2470"/>
    <w:rsid w:val="00BE7EC3"/>
    <w:rsid w:val="00C02978"/>
    <w:rsid w:val="00C125D3"/>
    <w:rsid w:val="00C12773"/>
    <w:rsid w:val="00C2542B"/>
    <w:rsid w:val="00C26AAA"/>
    <w:rsid w:val="00C51459"/>
    <w:rsid w:val="00C53DC6"/>
    <w:rsid w:val="00C54287"/>
    <w:rsid w:val="00C60FB9"/>
    <w:rsid w:val="00C80FE0"/>
    <w:rsid w:val="00CB0F63"/>
    <w:rsid w:val="00CB5CF9"/>
    <w:rsid w:val="00CD4CB6"/>
    <w:rsid w:val="00CE1A2D"/>
    <w:rsid w:val="00CF1BE5"/>
    <w:rsid w:val="00CF34A3"/>
    <w:rsid w:val="00CF60D1"/>
    <w:rsid w:val="00D02AAC"/>
    <w:rsid w:val="00D06B82"/>
    <w:rsid w:val="00D0749B"/>
    <w:rsid w:val="00D12EBD"/>
    <w:rsid w:val="00D13789"/>
    <w:rsid w:val="00D2138B"/>
    <w:rsid w:val="00D275D8"/>
    <w:rsid w:val="00D34840"/>
    <w:rsid w:val="00D37799"/>
    <w:rsid w:val="00D563DB"/>
    <w:rsid w:val="00D66AAF"/>
    <w:rsid w:val="00D7575B"/>
    <w:rsid w:val="00D75C18"/>
    <w:rsid w:val="00D917AB"/>
    <w:rsid w:val="00D97B13"/>
    <w:rsid w:val="00DA36F8"/>
    <w:rsid w:val="00DB034E"/>
    <w:rsid w:val="00DB2A43"/>
    <w:rsid w:val="00DB3DBF"/>
    <w:rsid w:val="00DC0DED"/>
    <w:rsid w:val="00DE5EBB"/>
    <w:rsid w:val="00DF1463"/>
    <w:rsid w:val="00DF51A7"/>
    <w:rsid w:val="00E123A7"/>
    <w:rsid w:val="00E24573"/>
    <w:rsid w:val="00E27C11"/>
    <w:rsid w:val="00E31AC4"/>
    <w:rsid w:val="00E42D42"/>
    <w:rsid w:val="00E743F8"/>
    <w:rsid w:val="00E75612"/>
    <w:rsid w:val="00E80AE8"/>
    <w:rsid w:val="00E83975"/>
    <w:rsid w:val="00E85254"/>
    <w:rsid w:val="00E8544C"/>
    <w:rsid w:val="00E855C8"/>
    <w:rsid w:val="00E87898"/>
    <w:rsid w:val="00EA17E4"/>
    <w:rsid w:val="00EC78C3"/>
    <w:rsid w:val="00ED35B4"/>
    <w:rsid w:val="00ED4109"/>
    <w:rsid w:val="00ED62C3"/>
    <w:rsid w:val="00EE2815"/>
    <w:rsid w:val="00EE286A"/>
    <w:rsid w:val="00EE3C69"/>
    <w:rsid w:val="00EF59CC"/>
    <w:rsid w:val="00F00157"/>
    <w:rsid w:val="00F02CD1"/>
    <w:rsid w:val="00F0568B"/>
    <w:rsid w:val="00F06ABE"/>
    <w:rsid w:val="00F125E1"/>
    <w:rsid w:val="00F14B2C"/>
    <w:rsid w:val="00F251FF"/>
    <w:rsid w:val="00F25B5A"/>
    <w:rsid w:val="00F433D2"/>
    <w:rsid w:val="00F43BB0"/>
    <w:rsid w:val="00F54C58"/>
    <w:rsid w:val="00F61D92"/>
    <w:rsid w:val="00F65874"/>
    <w:rsid w:val="00F737B1"/>
    <w:rsid w:val="00F824B2"/>
    <w:rsid w:val="00FA0618"/>
    <w:rsid w:val="00FA1C3D"/>
    <w:rsid w:val="00FA4920"/>
    <w:rsid w:val="00FD1878"/>
    <w:rsid w:val="00FD18A8"/>
    <w:rsid w:val="00FF456A"/>
    <w:rsid w:val="00FF55DA"/>
    <w:rsid w:val="00FF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7068"/>
    <w:rPr>
      <w:sz w:val="24"/>
      <w:szCs w:val="24"/>
    </w:rPr>
  </w:style>
  <w:style w:type="paragraph" w:styleId="1">
    <w:name w:val="heading 1"/>
    <w:basedOn w:val="a0"/>
    <w:next w:val="a0"/>
    <w:qFormat/>
    <w:rsid w:val="006C4B0E"/>
    <w:pPr>
      <w:keepNext/>
      <w:numPr>
        <w:numId w:val="7"/>
      </w:numPr>
      <w:spacing w:before="240" w:after="60"/>
      <w:outlineLvl w:val="0"/>
    </w:pPr>
    <w:rPr>
      <w:rFonts w:ascii="Calibri" w:hAnsi="Calibri" w:cs="Arial"/>
      <w:b/>
      <w:bCs/>
      <w:color w:val="31849B"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0C55D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F25B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E4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0"/>
    <w:semiHidden/>
    <w:rsid w:val="00B508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0">
    <w:name w:val="Заголовок 2 Знак"/>
    <w:link w:val="2"/>
    <w:rsid w:val="003576F6"/>
    <w:rPr>
      <w:rFonts w:ascii="Arial" w:hAnsi="Arial" w:cs="Arial"/>
      <w:b/>
      <w:bCs/>
      <w:i/>
      <w:iCs/>
      <w:sz w:val="28"/>
      <w:szCs w:val="28"/>
    </w:rPr>
  </w:style>
  <w:style w:type="paragraph" w:styleId="a6">
    <w:name w:val="header"/>
    <w:basedOn w:val="a0"/>
    <w:link w:val="a7"/>
    <w:rsid w:val="00880A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80A7B"/>
    <w:rPr>
      <w:sz w:val="24"/>
      <w:szCs w:val="24"/>
    </w:rPr>
  </w:style>
  <w:style w:type="paragraph" w:styleId="a8">
    <w:name w:val="footer"/>
    <w:basedOn w:val="a0"/>
    <w:link w:val="a9"/>
    <w:uiPriority w:val="99"/>
    <w:rsid w:val="00880A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80A7B"/>
    <w:rPr>
      <w:sz w:val="24"/>
      <w:szCs w:val="24"/>
    </w:rPr>
  </w:style>
  <w:style w:type="paragraph" w:styleId="aa">
    <w:name w:val="TOC Heading"/>
    <w:basedOn w:val="1"/>
    <w:next w:val="a0"/>
    <w:uiPriority w:val="39"/>
    <w:unhideWhenUsed/>
    <w:qFormat/>
    <w:rsid w:val="00675087"/>
    <w:pPr>
      <w:keepLines/>
      <w:numPr>
        <w:numId w:val="0"/>
      </w:numPr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</w:rPr>
  </w:style>
  <w:style w:type="paragraph" w:styleId="10">
    <w:name w:val="toc 1"/>
    <w:basedOn w:val="a0"/>
    <w:next w:val="a0"/>
    <w:autoRedefine/>
    <w:uiPriority w:val="39"/>
    <w:rsid w:val="00675087"/>
  </w:style>
  <w:style w:type="paragraph" w:styleId="21">
    <w:name w:val="toc 2"/>
    <w:basedOn w:val="a0"/>
    <w:next w:val="a0"/>
    <w:autoRedefine/>
    <w:uiPriority w:val="39"/>
    <w:rsid w:val="00675087"/>
    <w:pPr>
      <w:ind w:left="240"/>
    </w:pPr>
  </w:style>
  <w:style w:type="paragraph" w:styleId="30">
    <w:name w:val="toc 3"/>
    <w:basedOn w:val="a0"/>
    <w:next w:val="a0"/>
    <w:autoRedefine/>
    <w:uiPriority w:val="39"/>
    <w:rsid w:val="00675087"/>
    <w:pPr>
      <w:ind w:left="480"/>
    </w:pPr>
  </w:style>
  <w:style w:type="character" w:styleId="ab">
    <w:name w:val="Hyperlink"/>
    <w:uiPriority w:val="99"/>
    <w:unhideWhenUsed/>
    <w:rsid w:val="00675087"/>
    <w:rPr>
      <w:color w:val="0563C1"/>
      <w:u w:val="single"/>
    </w:rPr>
  </w:style>
  <w:style w:type="character" w:styleId="ac">
    <w:name w:val="Emphasis"/>
    <w:qFormat/>
    <w:rsid w:val="004C16EF"/>
    <w:rPr>
      <w:i/>
      <w:iCs/>
    </w:rPr>
  </w:style>
  <w:style w:type="paragraph" w:customStyle="1" w:styleId="11">
    <w:name w:val="Обычный1"/>
    <w:link w:val="12"/>
    <w:qFormat/>
    <w:rsid w:val="00663ECD"/>
    <w:pPr>
      <w:spacing w:before="120"/>
      <w:jc w:val="both"/>
    </w:pPr>
    <w:rPr>
      <w:b/>
      <w:bCs/>
      <w:sz w:val="28"/>
      <w:szCs w:val="26"/>
    </w:rPr>
  </w:style>
  <w:style w:type="paragraph" w:customStyle="1" w:styleId="ConsPlusNormal">
    <w:name w:val="ConsPlusNormal"/>
    <w:rsid w:val="00AD4A7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Обычный1 Знак"/>
    <w:link w:val="11"/>
    <w:rsid w:val="00663ECD"/>
    <w:rPr>
      <w:b/>
      <w:bCs/>
      <w:sz w:val="28"/>
      <w:szCs w:val="26"/>
      <w:lang w:bidi="ar-SA"/>
    </w:rPr>
  </w:style>
  <w:style w:type="paragraph" w:styleId="ad">
    <w:name w:val="Body Text"/>
    <w:basedOn w:val="a0"/>
    <w:link w:val="ae"/>
    <w:uiPriority w:val="99"/>
    <w:unhideWhenUsed/>
    <w:qFormat/>
    <w:rsid w:val="003725C6"/>
    <w:pPr>
      <w:spacing w:before="120"/>
      <w:jc w:val="both"/>
    </w:pPr>
    <w:rPr>
      <w:rFonts w:eastAsiaTheme="minorHAnsi" w:cstheme="minorBidi"/>
      <w:sz w:val="22"/>
      <w:szCs w:val="22"/>
      <w:lang w:eastAsia="en-US"/>
    </w:rPr>
  </w:style>
  <w:style w:type="character" w:customStyle="1" w:styleId="ae">
    <w:name w:val="Основной текст Знак"/>
    <w:basedOn w:val="a1"/>
    <w:link w:val="ad"/>
    <w:uiPriority w:val="99"/>
    <w:rsid w:val="003725C6"/>
    <w:rPr>
      <w:rFonts w:eastAsiaTheme="minorHAnsi" w:cstheme="minorBidi"/>
      <w:sz w:val="22"/>
      <w:szCs w:val="22"/>
      <w:lang w:eastAsia="en-US"/>
    </w:rPr>
  </w:style>
  <w:style w:type="paragraph" w:customStyle="1" w:styleId="a">
    <w:name w:val="Перечисление слитно"/>
    <w:basedOn w:val="ad"/>
    <w:qFormat/>
    <w:rsid w:val="003725C6"/>
    <w:pPr>
      <w:numPr>
        <w:numId w:val="10"/>
      </w:numPr>
      <w:spacing w:before="0"/>
    </w:pPr>
  </w:style>
  <w:style w:type="paragraph" w:customStyle="1" w:styleId="af">
    <w:name w:val="Заголовок документа"/>
    <w:basedOn w:val="a0"/>
    <w:next w:val="ad"/>
    <w:qFormat/>
    <w:rsid w:val="003725C6"/>
    <w:pPr>
      <w:jc w:val="center"/>
    </w:pPr>
    <w:rPr>
      <w:rFonts w:ascii="Arial" w:eastAsiaTheme="minorHAnsi" w:hAnsi="Arial" w:cstheme="minorBidi"/>
      <w:b/>
      <w:sz w:val="36"/>
      <w:szCs w:val="22"/>
      <w:lang w:eastAsia="en-US"/>
    </w:rPr>
  </w:style>
  <w:style w:type="paragraph" w:styleId="af0">
    <w:name w:val="List Paragraph"/>
    <w:basedOn w:val="a0"/>
    <w:uiPriority w:val="34"/>
    <w:qFormat/>
    <w:rsid w:val="003725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Balloon Text"/>
    <w:basedOn w:val="a0"/>
    <w:link w:val="af2"/>
    <w:semiHidden/>
    <w:unhideWhenUsed/>
    <w:rsid w:val="00CD4C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semiHidden/>
    <w:rsid w:val="00CD4C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AE5B0-ED1A-4414-B431-1B47D20A3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Доработки выполненные в модуле «Склад» для ГорЭлектротранса</vt:lpstr>
    </vt:vector>
  </TitlesOfParts>
  <Company>Microsoft</Company>
  <LinksUpToDate>false</LinksUpToDate>
  <CharactersWithSpaces>10564</CharactersWithSpaces>
  <SharedDoc>false</SharedDoc>
  <HLinks>
    <vt:vector size="84" baseType="variant">
      <vt:variant>
        <vt:i4>1310779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_Toc188874577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_Toc188874576</vt:lpwstr>
      </vt:variant>
      <vt:variant>
        <vt:i4>1310779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_Toc188874575</vt:lpwstr>
      </vt:variant>
      <vt:variant>
        <vt:i4>1310779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_Toc188874574</vt:lpwstr>
      </vt:variant>
      <vt:variant>
        <vt:i4>1310779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_Toc188874573</vt:lpwstr>
      </vt:variant>
      <vt:variant>
        <vt:i4>1310779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_Toc188874572</vt:lpwstr>
      </vt:variant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_Toc188874571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_Toc188874570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_Toc188874569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_Toc188874568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_Toc188874567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_Toc188874566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_Toc188874565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_Toc188874564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Доработки выполненные в модуле «Склад» для ГорЭлектротранса</dc:title>
  <dc:creator>sea</dc:creator>
  <cp:lastModifiedBy>kest</cp:lastModifiedBy>
  <cp:revision>2</cp:revision>
  <dcterms:created xsi:type="dcterms:W3CDTF">2025-03-24T16:41:00Z</dcterms:created>
  <dcterms:modified xsi:type="dcterms:W3CDTF">2025-03-24T16:41:00Z</dcterms:modified>
</cp:coreProperties>
</file>