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921" w14:textId="6BBF7AE4" w:rsidR="00CE7524" w:rsidRDefault="00063D44" w:rsidP="00063D44">
      <w:pPr>
        <w:pStyle w:val="a6"/>
      </w:pPr>
      <w:r>
        <w:t xml:space="preserve">Порядок настройки для </w:t>
      </w:r>
      <w:r w:rsidR="00463CB4" w:rsidRPr="00463CB4">
        <w:t>карантинных</w:t>
      </w:r>
      <w:r>
        <w:t xml:space="preserve"> дней</w:t>
      </w:r>
    </w:p>
    <w:p w14:paraId="1C012A87" w14:textId="60BBECEC" w:rsidR="00063D44" w:rsidRDefault="00063D44" w:rsidP="00063D44">
      <w:pPr>
        <w:pStyle w:val="1"/>
      </w:pPr>
      <w:r>
        <w:t>Введение</w:t>
      </w:r>
    </w:p>
    <w:p w14:paraId="247D0E2D" w14:textId="241948E5" w:rsidR="00063D44" w:rsidRDefault="00063D44" w:rsidP="00063D44">
      <w:pPr>
        <w:pStyle w:val="a1"/>
      </w:pPr>
      <w:r>
        <w:t>Заказчик</w:t>
      </w:r>
      <w:r w:rsidR="00A95163">
        <w:t>ам</w:t>
      </w:r>
      <w:r>
        <w:t xml:space="preserve"> требуется, чтобы нерабочие дни, объявленные в связи с пандемией, оплачивались с помощью тех же видов оплаты, которые используются для отработанных дней, но эти дни и начисленные за них суммы не должны включаться в средний заработок.</w:t>
      </w:r>
    </w:p>
    <w:p w14:paraId="48AC756B" w14:textId="5F1F9205" w:rsidR="00063D44" w:rsidRDefault="00063D44" w:rsidP="00063D44">
      <w:pPr>
        <w:pStyle w:val="1"/>
      </w:pPr>
      <w:r>
        <w:t>1. Изменения в метаданных</w:t>
      </w:r>
    </w:p>
    <w:p w14:paraId="5931A0BB" w14:textId="299AAE0E" w:rsidR="00063D44" w:rsidRDefault="00063D44" w:rsidP="00063D44">
      <w:pPr>
        <w:pStyle w:val="a1"/>
      </w:pPr>
      <w:r>
        <w:t>Для решения задачи, оговоренной во введении, в метаданные внесены следующие изменения:</w:t>
      </w:r>
    </w:p>
    <w:p w14:paraId="2E14160B" w14:textId="275D4440" w:rsidR="00063D44" w:rsidRDefault="00063D44" w:rsidP="00063D44">
      <w:pPr>
        <w:pStyle w:val="a1"/>
        <w:ind w:left="426" w:hanging="426"/>
      </w:pPr>
      <w:r>
        <w:t>1)</w:t>
      </w:r>
      <w:r>
        <w:tab/>
        <w:t>в таблицы «</w:t>
      </w:r>
      <w:r w:rsidRPr="00063D44">
        <w:t>Распределение затрат по отдельным в/о</w:t>
      </w:r>
      <w:r>
        <w:t>» (</w:t>
      </w:r>
      <w:r w:rsidRPr="00063D44">
        <w:t>GRAF_KOD</w:t>
      </w:r>
      <w:r>
        <w:t>), «</w:t>
      </w:r>
      <w:r w:rsidRPr="00063D44">
        <w:t>График работы</w:t>
      </w:r>
      <w:r>
        <w:t>» (</w:t>
      </w:r>
      <w:r w:rsidRPr="00063D44">
        <w:t>GRAFIK</w:t>
      </w:r>
      <w:r>
        <w:t>) и «</w:t>
      </w:r>
      <w:r w:rsidRPr="00063D44">
        <w:t>Свод по заработной плате</w:t>
      </w:r>
      <w:r>
        <w:t>» (</w:t>
      </w:r>
      <w:r w:rsidRPr="00063D44">
        <w:t>SPR_70</w:t>
      </w:r>
      <w:r>
        <w:t>) добавлено поле «</w:t>
      </w:r>
      <w:r w:rsidRPr="00063D44">
        <w:t>Режим учета в среднем</w:t>
      </w:r>
      <w:r>
        <w:t>» (</w:t>
      </w:r>
      <w:r w:rsidRPr="00063D44">
        <w:t>LIC_MID</w:t>
      </w:r>
      <w:r>
        <w:t>);</w:t>
      </w:r>
    </w:p>
    <w:p w14:paraId="1D0F2C3A" w14:textId="77777777" w:rsidR="00063D44" w:rsidRDefault="00063D44" w:rsidP="00063D44">
      <w:pPr>
        <w:pStyle w:val="a1"/>
        <w:ind w:left="426" w:hanging="426"/>
      </w:pPr>
      <w:r>
        <w:t>2)</w:t>
      </w:r>
      <w:r>
        <w:tab/>
        <w:t>в табличные формы «</w:t>
      </w:r>
      <w:r w:rsidRPr="00063D44">
        <w:t>Распределение затрат по видам оплаты</w:t>
      </w:r>
      <w:r>
        <w:t>» (</w:t>
      </w:r>
      <w:r w:rsidRPr="00063D44">
        <w:t>GRAF_KOD</w:t>
      </w:r>
      <w:r>
        <w:t>), «</w:t>
      </w:r>
      <w:r w:rsidRPr="00063D44">
        <w:t>График работы</w:t>
      </w:r>
      <w:r>
        <w:t>» (</w:t>
      </w:r>
      <w:r w:rsidRPr="00063D44">
        <w:t>GRAFIK</w:t>
      </w:r>
      <w:r>
        <w:t>) и «</w:t>
      </w:r>
      <w:r w:rsidRPr="00063D44">
        <w:t>Свод по заработной плате</w:t>
      </w:r>
      <w:r>
        <w:t>» (</w:t>
      </w:r>
      <w:r w:rsidRPr="00063D44">
        <w:t>SPR_70</w:t>
      </w:r>
      <w:r>
        <w:t>) добавлена колонка по полю «</w:t>
      </w:r>
      <w:r w:rsidRPr="00063D44">
        <w:t>Режим учета в среднем</w:t>
      </w:r>
      <w:r>
        <w:t>» (</w:t>
      </w:r>
      <w:r w:rsidRPr="00063D44">
        <w:t>LIC_MID</w:t>
      </w:r>
      <w:r>
        <w:t>);</w:t>
      </w:r>
    </w:p>
    <w:p w14:paraId="360CA91F" w14:textId="77777777" w:rsidR="00524099" w:rsidRDefault="00063D44" w:rsidP="00063D44">
      <w:pPr>
        <w:pStyle w:val="a1"/>
        <w:ind w:left="426" w:hanging="426"/>
      </w:pPr>
      <w:r>
        <w:t>3)</w:t>
      </w:r>
      <w:r>
        <w:tab/>
        <w:t xml:space="preserve">доработан скрипт </w:t>
      </w:r>
      <w:r w:rsidRPr="00063D44">
        <w:t>SPR_70_DOPS.SQL</w:t>
      </w:r>
      <w:r>
        <w:t>, чтобы в таблице «</w:t>
      </w:r>
      <w:r w:rsidRPr="00063D44">
        <w:t>Дополнительные реквизиты в своде</w:t>
      </w:r>
      <w:r>
        <w:t>» (</w:t>
      </w:r>
      <w:r w:rsidRPr="00063D44">
        <w:t>SPR_70_DOPS</w:t>
      </w:r>
      <w:r>
        <w:t>) заполнялась новая строка «</w:t>
      </w:r>
      <w:r w:rsidRPr="00063D44">
        <w:t xml:space="preserve">разбивать свод </w:t>
      </w:r>
      <w:r w:rsidR="00892A88">
        <w:t xml:space="preserve">по </w:t>
      </w:r>
      <w:r w:rsidRPr="00063D44">
        <w:t>учету в среднем</w:t>
      </w:r>
      <w:r>
        <w:t xml:space="preserve">». Добавление этой строки обеспечивает, что значение </w:t>
      </w:r>
      <w:r w:rsidR="00892A88">
        <w:t>п</w:t>
      </w:r>
      <w:r>
        <w:t>оля «</w:t>
      </w:r>
      <w:r w:rsidRPr="00063D44">
        <w:t>Режим учета в среднем</w:t>
      </w:r>
      <w:r>
        <w:t>» (</w:t>
      </w:r>
      <w:r w:rsidRPr="00063D44">
        <w:t>LIC_MID</w:t>
      </w:r>
      <w:r>
        <w:t>) переносится из таблицы «</w:t>
      </w:r>
      <w:r w:rsidRPr="00063D44">
        <w:t>График работы</w:t>
      </w:r>
      <w:r>
        <w:t>» (</w:t>
      </w:r>
      <w:r w:rsidRPr="00063D44">
        <w:t>GRAFIK</w:t>
      </w:r>
      <w:r>
        <w:t>) в расчетный листок работника для тех видов оплаты, для которых в колонке «Разбить на строки» указан плюс</w:t>
      </w:r>
      <w:r w:rsidR="00194097">
        <w:t>.</w:t>
      </w:r>
      <w:r w:rsidR="00EB0B36">
        <w:t xml:space="preserve"> Прежде чем выполнять это скрипт, нужно преобразовать таблицу </w:t>
      </w:r>
      <w:r w:rsidR="00EB0B36" w:rsidRPr="00063D44">
        <w:t>SPR_70_DOPS</w:t>
      </w:r>
      <w:r w:rsidR="00EB0B36">
        <w:t xml:space="preserve"> по измененному описанию, причем сделать это надо с помощью мастера таблиц, так как внесенное </w:t>
      </w:r>
      <w:r w:rsidR="00CC5254">
        <w:t>изменение</w:t>
      </w:r>
      <w:r w:rsidR="00EB0B36">
        <w:t xml:space="preserve"> не приводит к автоматическому преобразованию структуры</w:t>
      </w:r>
      <w:r w:rsidR="00524099">
        <w:t>;</w:t>
      </w:r>
    </w:p>
    <w:p w14:paraId="4113A47A" w14:textId="0A353483" w:rsidR="00524099" w:rsidRDefault="00524099" w:rsidP="00524099">
      <w:pPr>
        <w:pStyle w:val="a1"/>
        <w:ind w:left="426" w:hanging="426"/>
      </w:pPr>
      <w:r>
        <w:t>4)</w:t>
      </w:r>
      <w:r>
        <w:tab/>
        <w:t>в диалоге, который выводится при использовании пункта меню «Персонал / Распределение часов по ШПЗ», переключатель «Какую таблицу открыть» дополнен вариантом «отклонения для карантинных дней». Если выбран этот вариант, открывается табличная форма «Отклонения для карантинных дней» (GRAFIK_PAND), отфильтрованная по значению в колонке «Учет в среднем» (должен быть равен -1) и срокам отклонения (с учетом указанного месяца). Перед открытием табличной формы выводится диалог с предложением обновить отклонения для указанного месяца и вида неявок, используемого для карантинных дней. Видом неявок, используемым для карантинных дней, считается вид неявок</w:t>
      </w:r>
      <w:r w:rsidR="001D3B88">
        <w:t>,</w:t>
      </w:r>
      <w:r>
        <w:t xml:space="preserve"> для которого:</w:t>
      </w:r>
    </w:p>
    <w:p w14:paraId="08BA56E6" w14:textId="0B9FB18F" w:rsidR="00524099" w:rsidRDefault="00524099" w:rsidP="00D365B2">
      <w:pPr>
        <w:pStyle w:val="a1"/>
        <w:numPr>
          <w:ilvl w:val="0"/>
          <w:numId w:val="2"/>
        </w:numPr>
        <w:spacing w:before="0"/>
        <w:ind w:left="782" w:hanging="357"/>
      </w:pPr>
      <w:r>
        <w:t>для вида неявки в справочнике колонка "Период исключается в методах С6 и С7" содержит + или *;</w:t>
      </w:r>
    </w:p>
    <w:p w14:paraId="10EB2EC1" w14:textId="37C336F9" w:rsidR="00524099" w:rsidRDefault="00524099" w:rsidP="00D365B2">
      <w:pPr>
        <w:pStyle w:val="a1"/>
        <w:numPr>
          <w:ilvl w:val="0"/>
          <w:numId w:val="2"/>
        </w:numPr>
        <w:spacing w:before="0"/>
        <w:ind w:left="782" w:hanging="357"/>
      </w:pPr>
      <w:r>
        <w:t>для учетного символа в справочнике колонка "Группа" содержит + или *, то есть, дни (часы) такой неявки учитываются как отработанные.</w:t>
      </w:r>
    </w:p>
    <w:p w14:paraId="25FF94EA" w14:textId="124A985F" w:rsidR="00194097" w:rsidRDefault="00524099" w:rsidP="00524099">
      <w:pPr>
        <w:pStyle w:val="a1"/>
        <w:ind w:left="425"/>
      </w:pPr>
      <w:r>
        <w:t>Если таких видов неявок несколько, будет предложено выбрать один из них, так как операция по обновлению отклонений выполняется в рамках одного вида неявок. Для неявок, в которых категория персонала не указана, отклонения формируются для всех назначений работника, действующих в период неявки. Если в неявке указана категория персонала, отклонения формируются для назначений с видом трудовых отношений, которой указан для категории. Период отклонения соответствует срокам неявки, но может быть уменьшен, если срок действия назначения меньше. При добавлении отклонения в нем заполняется код неявки, что позволяет обновить сроки отклонения, если изменились сроки неявки или назначения, а также удалить отклонение, если неявка удалена из журнала. Добавление неявки не производится для тех назначений, для которых уже есть отклонение с таким кодом неявки либо есть отклонение без кода неявки, но со значением -1 в колонке «Учет в среднем» и сроками отклонения, лежащими в пределах сроков неявки</w:t>
      </w:r>
      <w:r w:rsidR="00EB0B36">
        <w:t>.</w:t>
      </w:r>
    </w:p>
    <w:p w14:paraId="01C2356A" w14:textId="629ED078" w:rsidR="00194097" w:rsidRDefault="00194097" w:rsidP="00194097">
      <w:pPr>
        <w:pStyle w:val="1"/>
      </w:pPr>
      <w:r>
        <w:lastRenderedPageBreak/>
        <w:t>2. Порядок настройки</w:t>
      </w:r>
    </w:p>
    <w:p w14:paraId="01B07AF1" w14:textId="2F6C171A" w:rsidR="00194097" w:rsidRDefault="00E8394A" w:rsidP="00305086">
      <w:pPr>
        <w:pStyle w:val="a1"/>
        <w:keepNext/>
      </w:pPr>
      <w:r>
        <w:t>Для решения задачи, оговоренной во введении, в базе данных заказчик</w:t>
      </w:r>
      <w:r w:rsidR="00B42CE0">
        <w:t>ов</w:t>
      </w:r>
      <w:r>
        <w:t xml:space="preserve"> необходимы следующие настройки:</w:t>
      </w:r>
    </w:p>
    <w:p w14:paraId="17EDA535" w14:textId="5368A1BF" w:rsidR="007308AF" w:rsidRDefault="00E8394A" w:rsidP="00E8394A">
      <w:pPr>
        <w:pStyle w:val="a1"/>
        <w:ind w:left="357" w:hanging="357"/>
      </w:pPr>
      <w:r>
        <w:t>1)</w:t>
      </w:r>
      <w:r>
        <w:tab/>
        <w:t>в справочник неявок должна быть добавлена неявка, которая будет использоваться в течении объявленных нерабочих дней. В качестве учетного символа для этого вида неявки может использоваться либо учетный символ Я, либо другой учетный символ</w:t>
      </w:r>
      <w:r w:rsidR="004769DD">
        <w:t xml:space="preserve"> (рекомендуется)</w:t>
      </w:r>
      <w:r>
        <w:t>, который специально добавлен для этой цели. Во втором случае для этого учетного символа в колонке «Группа» должен быть указан плюс</w:t>
      </w:r>
      <w:r w:rsidR="00305086">
        <w:t xml:space="preserve"> (считаются рабочими днями)</w:t>
      </w:r>
      <w:r>
        <w:t xml:space="preserve">. </w:t>
      </w:r>
    </w:p>
    <w:p w14:paraId="6E387723" w14:textId="0FCAEA2E" w:rsidR="00E8394A" w:rsidRDefault="00E8394A" w:rsidP="007308AF">
      <w:pPr>
        <w:pStyle w:val="a1"/>
        <w:ind w:left="357"/>
      </w:pPr>
      <w:r>
        <w:t xml:space="preserve">Во всех случаях для </w:t>
      </w:r>
      <w:r w:rsidR="00F6341A">
        <w:t>нового</w:t>
      </w:r>
      <w:r w:rsidR="00357A36">
        <w:t xml:space="preserve"> </w:t>
      </w:r>
      <w:r>
        <w:t>вида неявки следует использовать следующие настройки:</w:t>
      </w:r>
    </w:p>
    <w:p w14:paraId="3257F64F" w14:textId="56BCC8E7" w:rsidR="00E8394A" w:rsidRDefault="00E8394A" w:rsidP="00E8394A">
      <w:pPr>
        <w:pStyle w:val="a"/>
      </w:pPr>
      <w:r>
        <w:t>колонку «Дней в неделю» оставить не заполненной. Тогда неявка будет действовать в рабочие дни по графику работы;</w:t>
      </w:r>
    </w:p>
    <w:p w14:paraId="0759D55B" w14:textId="6F1B6BCB" w:rsidR="00E8394A" w:rsidRDefault="00E8394A" w:rsidP="00E8394A">
      <w:pPr>
        <w:pStyle w:val="a"/>
      </w:pPr>
      <w:r>
        <w:t>в колонке «Период исключается в методах С6 и С7» указать плюс</w:t>
      </w:r>
      <w:r w:rsidR="00357A36">
        <w:t>.</w:t>
      </w:r>
      <w:r>
        <w:t xml:space="preserve"> </w:t>
      </w:r>
    </w:p>
    <w:p w14:paraId="72C6EF89" w14:textId="3BC0E34A" w:rsidR="007308AF" w:rsidRDefault="007308AF" w:rsidP="00E8394A">
      <w:pPr>
        <w:pStyle w:val="a1"/>
        <w:ind w:left="357" w:hanging="357"/>
      </w:pPr>
      <w:r>
        <w:t>2)</w:t>
      </w:r>
      <w:r>
        <w:tab/>
        <w:t xml:space="preserve">для всех видов оплаты, которые </w:t>
      </w:r>
      <w:r w:rsidR="00A10135">
        <w:t>должны быть задействованы в оплате обсуждаем</w:t>
      </w:r>
      <w:r w:rsidR="00F6341A">
        <w:t>ых</w:t>
      </w:r>
      <w:r w:rsidR="00A10135">
        <w:t xml:space="preserve"> </w:t>
      </w:r>
      <w:r w:rsidR="00F6341A">
        <w:t>дней</w:t>
      </w:r>
      <w:r w:rsidR="00A10135">
        <w:t>, в колонке «Разбить на строки» следует указать плюс;</w:t>
      </w:r>
    </w:p>
    <w:p w14:paraId="28EA417B" w14:textId="4E1E5AC2" w:rsidR="00E8394A" w:rsidRDefault="007308AF" w:rsidP="00E8394A">
      <w:pPr>
        <w:pStyle w:val="a1"/>
        <w:ind w:left="357" w:hanging="357"/>
      </w:pPr>
      <w:r>
        <w:t>3</w:t>
      </w:r>
      <w:r w:rsidR="00E8394A">
        <w:t>)</w:t>
      </w:r>
      <w:r w:rsidR="00E8394A">
        <w:tab/>
        <w:t xml:space="preserve">для тех работников, которые не работают в </w:t>
      </w:r>
      <w:r>
        <w:t>обсуждаемы</w:t>
      </w:r>
      <w:r w:rsidR="00F6341A">
        <w:t>е</w:t>
      </w:r>
      <w:r w:rsidR="00E8394A">
        <w:t xml:space="preserve"> </w:t>
      </w:r>
      <w:r w:rsidR="00F6341A">
        <w:t>дни</w:t>
      </w:r>
      <w:r w:rsidR="00E8394A">
        <w:t>, на период их отсутствия необходимо:</w:t>
      </w:r>
    </w:p>
    <w:p w14:paraId="396DDCB6" w14:textId="3B96E098" w:rsidR="00E8394A" w:rsidRDefault="00E8394A" w:rsidP="00E8394A">
      <w:pPr>
        <w:pStyle w:val="a"/>
      </w:pPr>
      <w:r>
        <w:t xml:space="preserve">добавить неявку того вида, который оговорен в пункте 1. Если работник по некоторым </w:t>
      </w:r>
      <w:r w:rsidR="007308AF">
        <w:t>назначениям работает, а по другим – отсутствует, либо если сроки отсутствия отличаются для разных назначений, следует использовать несколько записей в журнале неявок, в которых указать категорию персонала</w:t>
      </w:r>
      <w:r>
        <w:t>;</w:t>
      </w:r>
    </w:p>
    <w:p w14:paraId="16D6547B" w14:textId="1F758BD3" w:rsidR="00E8394A" w:rsidRDefault="00E8394A" w:rsidP="00E8394A">
      <w:pPr>
        <w:pStyle w:val="a"/>
      </w:pPr>
      <w:r>
        <w:t xml:space="preserve">добавить отклонение от графика на тот же период. В отклонении от графика следует заполнить только дату начала и окончания, а </w:t>
      </w:r>
      <w:r w:rsidR="007308AF">
        <w:t>в колонке «Учет в среднем» выбрать -1 из списка допустимых значений. В колонке «Код вредной профессии» следует оставить звездочку (устанавливается по умолчанию), а остальные колонки следует оставить пустыми.</w:t>
      </w:r>
      <w:r>
        <w:t xml:space="preserve"> </w:t>
      </w:r>
      <w:r w:rsidR="00EA53B7">
        <w:t>Для автоматической увязки таких неявок и отклонений от графика, а также для просмотра отклонений, полученных в процессе увязки, доработан пункт меню «Персонал / Распределение часов по ШПЗ» - см. пункт 4 раздела 1.</w:t>
      </w:r>
    </w:p>
    <w:p w14:paraId="5F35C26F" w14:textId="1F0101CA" w:rsidR="00E8394A" w:rsidRPr="00194097" w:rsidRDefault="007308AF" w:rsidP="007308AF">
      <w:pPr>
        <w:pStyle w:val="a1"/>
      </w:pPr>
      <w:r>
        <w:t>В результате этих настр</w:t>
      </w:r>
      <w:r w:rsidR="00357A36">
        <w:t>оек будет получен следующий результат:</w:t>
      </w:r>
    </w:p>
    <w:p w14:paraId="5DEAFD53" w14:textId="6FA80718" w:rsidR="00357A36" w:rsidRDefault="00357A36" w:rsidP="00357A36">
      <w:pPr>
        <w:pStyle w:val="a1"/>
        <w:ind w:left="357" w:hanging="357"/>
      </w:pPr>
      <w:r>
        <w:t>1)</w:t>
      </w:r>
      <w:r>
        <w:tab/>
        <w:t>в табеле для указанного периода будет проставляться либо учетный символ Я</w:t>
      </w:r>
      <w:r w:rsidR="00F6341A">
        <w:t xml:space="preserve"> (первый вариант)</w:t>
      </w:r>
      <w:r>
        <w:t>, либо другой учетный символ</w:t>
      </w:r>
      <w:r w:rsidR="00F6341A">
        <w:t xml:space="preserve"> (второй вариант)</w:t>
      </w:r>
      <w:r>
        <w:t>, однако соответствующие дни и часы все равно будут учитываться как отработанные, то есть, будут оплачиваться видами оплаты, зависящими от отработанных дней</w:t>
      </w:r>
      <w:r w:rsidR="005956E8">
        <w:t xml:space="preserve">. Если табель был сформирован до </w:t>
      </w:r>
      <w:r w:rsidR="00D619E2">
        <w:t>выполнения</w:t>
      </w:r>
      <w:r w:rsidR="005956E8">
        <w:t xml:space="preserve"> описанных настроек, а для обсуждаемых дней использован другой учетный символ</w:t>
      </w:r>
      <w:r w:rsidR="008D3870">
        <w:t xml:space="preserve"> (не Я)</w:t>
      </w:r>
      <w:r w:rsidR="005956E8">
        <w:t>, то для заполнения табел</w:t>
      </w:r>
      <w:r w:rsidR="005C3893">
        <w:t>я</w:t>
      </w:r>
      <w:r w:rsidR="005956E8">
        <w:t xml:space="preserve"> этим учетным символом в течение дней отсутствия нужно пересчитать</w:t>
      </w:r>
      <w:r w:rsidR="00426CDB">
        <w:t xml:space="preserve"> табель</w:t>
      </w:r>
      <w:r w:rsidR="002E15DB">
        <w:t>;</w:t>
      </w:r>
    </w:p>
    <w:p w14:paraId="03877CB3" w14:textId="44257323" w:rsidR="00063D44" w:rsidRDefault="00357A36" w:rsidP="00357A36">
      <w:pPr>
        <w:pStyle w:val="a1"/>
        <w:ind w:left="357" w:hanging="357"/>
      </w:pPr>
      <w:r>
        <w:t>2)</w:t>
      </w:r>
      <w:r>
        <w:tab/>
      </w:r>
      <w:r w:rsidR="00F6341A">
        <w:t>в расчетных листках отработанные дни и часы, а также суммы оплаты за эти дни, будут представлены двумя строками, причем в строке, соответствующей отклонению колонка «Учет в среднему» будет заполнена значением -1 (не учитывать эту сумму)</w:t>
      </w:r>
      <w:r w:rsidR="00D619E2">
        <w:t>. Если расчет был выполнен до выполнения описанных настроек, для получения нужного результата строки расчетной ведомости нужно пересчитать с обнов</w:t>
      </w:r>
      <w:r w:rsidR="005821E4">
        <w:t>л</w:t>
      </w:r>
      <w:r w:rsidR="00D619E2">
        <w:t>ением табельных данных</w:t>
      </w:r>
      <w:r w:rsidR="00F6341A">
        <w:t>;</w:t>
      </w:r>
    </w:p>
    <w:p w14:paraId="5AD2D010" w14:textId="77777777" w:rsidR="00822FA7" w:rsidRDefault="00F6341A" w:rsidP="00357A36">
      <w:pPr>
        <w:pStyle w:val="a1"/>
        <w:ind w:left="357" w:hanging="357"/>
      </w:pPr>
      <w:r>
        <w:t>3)</w:t>
      </w:r>
      <w:r>
        <w:tab/>
        <w:t>при расчете по среднему с расчетным периодом, включающем обсуждаемые дни, в средний заработок не будут включаться соответствующие дни (с учетом неявки) и суммы (с учетом колонки «Учет в среднем»). Это не касается оплаты больничных листов, так как на суммы оплаты за эти дни страховых взносы должны начисляться, а, значит, они должны входить в средний заработок для оплаты больничных листов.</w:t>
      </w:r>
    </w:p>
    <w:p w14:paraId="619248BD" w14:textId="2FFB8E56" w:rsidR="00F6341A" w:rsidRPr="00063D44" w:rsidRDefault="00D029CC" w:rsidP="00822FA7">
      <w:pPr>
        <w:pStyle w:val="a1"/>
      </w:pPr>
      <w:r>
        <w:t>Следует учитывать, что данная технология не была опробована в сочетании с почасовым учетом затрат. В связи с этим пока не рекомендуется использовать такое сочетание.</w:t>
      </w:r>
      <w:r w:rsidR="00F6341A">
        <w:t xml:space="preserve"> </w:t>
      </w:r>
    </w:p>
    <w:sectPr w:rsidR="00F6341A" w:rsidRPr="0006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F71"/>
    <w:multiLevelType w:val="hybridMultilevel"/>
    <w:tmpl w:val="B2DA0440"/>
    <w:lvl w:ilvl="0" w:tplc="A42A75B8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29684A"/>
    <w:multiLevelType w:val="hybridMultilevel"/>
    <w:tmpl w:val="63A899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44"/>
    <w:rsid w:val="00063D44"/>
    <w:rsid w:val="000F507A"/>
    <w:rsid w:val="00182136"/>
    <w:rsid w:val="0018513E"/>
    <w:rsid w:val="00194097"/>
    <w:rsid w:val="001D3B88"/>
    <w:rsid w:val="002E15DB"/>
    <w:rsid w:val="002F03AC"/>
    <w:rsid w:val="00305086"/>
    <w:rsid w:val="00357A36"/>
    <w:rsid w:val="003755BF"/>
    <w:rsid w:val="003F5815"/>
    <w:rsid w:val="00426CDB"/>
    <w:rsid w:val="00463CB4"/>
    <w:rsid w:val="004769DD"/>
    <w:rsid w:val="00524099"/>
    <w:rsid w:val="005261FC"/>
    <w:rsid w:val="005721A5"/>
    <w:rsid w:val="005821E4"/>
    <w:rsid w:val="005956E8"/>
    <w:rsid w:val="005C3893"/>
    <w:rsid w:val="006921FB"/>
    <w:rsid w:val="006A2BEE"/>
    <w:rsid w:val="007308AF"/>
    <w:rsid w:val="007D7235"/>
    <w:rsid w:val="00822FA7"/>
    <w:rsid w:val="00892A88"/>
    <w:rsid w:val="008D3870"/>
    <w:rsid w:val="008E1A61"/>
    <w:rsid w:val="00925901"/>
    <w:rsid w:val="00A10135"/>
    <w:rsid w:val="00A154A7"/>
    <w:rsid w:val="00A95163"/>
    <w:rsid w:val="00B42CE0"/>
    <w:rsid w:val="00B63FFF"/>
    <w:rsid w:val="00CB5966"/>
    <w:rsid w:val="00CC5254"/>
    <w:rsid w:val="00CE7524"/>
    <w:rsid w:val="00D029CC"/>
    <w:rsid w:val="00D365B2"/>
    <w:rsid w:val="00D619E2"/>
    <w:rsid w:val="00DF0B02"/>
    <w:rsid w:val="00E2090B"/>
    <w:rsid w:val="00E8394A"/>
    <w:rsid w:val="00EA53B7"/>
    <w:rsid w:val="00EB0B36"/>
    <w:rsid w:val="00ED0CBF"/>
    <w:rsid w:val="00F6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7C03E"/>
  <w15:chartTrackingRefBased/>
  <w15:docId w15:val="{B37CD26D-A052-4ABD-8078-B63FC205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Никита Валентинович</cp:lastModifiedBy>
  <cp:revision>24</cp:revision>
  <dcterms:created xsi:type="dcterms:W3CDTF">2021-05-25T16:20:00Z</dcterms:created>
  <dcterms:modified xsi:type="dcterms:W3CDTF">2021-05-27T15:12:00Z</dcterms:modified>
</cp:coreProperties>
</file>